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8ED0" w14:textId="4AC29AB5" w:rsidR="00EC0FB6" w:rsidRPr="00EC0FB6" w:rsidRDefault="00EC0FB6" w:rsidP="00472EBA">
      <w:pPr>
        <w:pStyle w:val="Rubrik"/>
        <w:rPr>
          <w:i/>
          <w:iCs/>
        </w:rPr>
      </w:pPr>
      <w:r w:rsidRPr="00EC0FB6">
        <w:rPr>
          <w:i/>
          <w:iCs/>
        </w:rPr>
        <w:t xml:space="preserve">För information: </w:t>
      </w:r>
    </w:p>
    <w:p w14:paraId="08A9FEDF" w14:textId="660DCB35" w:rsidR="00CD050C" w:rsidRDefault="00CF0F7E" w:rsidP="00472EBA">
      <w:pPr>
        <w:pStyle w:val="Rubrik"/>
      </w:pPr>
      <w:r>
        <w:t>B</w:t>
      </w:r>
      <w:r w:rsidR="009554F4">
        <w:t xml:space="preserve">edömning av </w:t>
      </w:r>
      <w:r w:rsidR="009A4FE0">
        <w:t xml:space="preserve">halvtidsöversyn av </w:t>
      </w:r>
      <w:r w:rsidR="009554F4">
        <w:t>det nationella programmet fö</w:t>
      </w:r>
      <w:r w:rsidR="00945EA7">
        <w:t>r</w:t>
      </w:r>
      <w:r w:rsidR="009554F4">
        <w:t xml:space="preserve"> Europeiska socialfonden+ 2021–2027</w:t>
      </w:r>
      <w:r w:rsidR="00B63340">
        <w:t xml:space="preserve"> </w:t>
      </w:r>
    </w:p>
    <w:p w14:paraId="7A1587A2" w14:textId="556D21C1" w:rsidR="00C32DB9" w:rsidRPr="00C431BA" w:rsidRDefault="00641826" w:rsidP="006763F6">
      <w:pPr>
        <w:pStyle w:val="Rubrik4utannumrering"/>
        <w:pBdr>
          <w:top w:val="single" w:sz="4" w:space="1" w:color="auto"/>
          <w:left w:val="single" w:sz="4" w:space="4" w:color="auto"/>
          <w:bottom w:val="single" w:sz="4" w:space="1" w:color="auto"/>
          <w:right w:val="single" w:sz="4" w:space="4" w:color="auto"/>
        </w:pBdr>
      </w:pPr>
      <w:r w:rsidRPr="00C431BA">
        <w:t xml:space="preserve">Sammanfattning av </w:t>
      </w:r>
      <w:r w:rsidR="00E46041">
        <w:t xml:space="preserve">regeringens </w:t>
      </w:r>
      <w:r w:rsidR="00C431BA">
        <w:t>bedömningar och förslag</w:t>
      </w:r>
    </w:p>
    <w:p w14:paraId="2F2CC491" w14:textId="1F692CFC" w:rsidR="008658E1" w:rsidRDefault="008462A3" w:rsidP="006763F6">
      <w:pPr>
        <w:pStyle w:val="Brdtext"/>
        <w:pBdr>
          <w:top w:val="single" w:sz="4" w:space="1" w:color="auto"/>
          <w:left w:val="single" w:sz="4" w:space="4" w:color="auto"/>
          <w:bottom w:val="single" w:sz="4" w:space="1" w:color="auto"/>
          <w:right w:val="single" w:sz="4" w:space="4" w:color="auto"/>
        </w:pBdr>
      </w:pPr>
      <w:r>
        <w:t>Regeringen bedömer utifrån de aspekter som ska beaktas i en halvtidsöversyn av det nationella programmet för Europeiska socialfonden+</w:t>
      </w:r>
      <w:r w:rsidR="00AB7C63">
        <w:t xml:space="preserve"> 2021–2027</w:t>
      </w:r>
      <w:r>
        <w:t xml:space="preserve"> (programmet för ESF+) </w:t>
      </w:r>
      <w:proofErr w:type="gramStart"/>
      <w:r>
        <w:t>bl.a.</w:t>
      </w:r>
      <w:proofErr w:type="gramEnd"/>
      <w:r>
        <w:t xml:space="preserve"> följande. Genomförandet av programmet bidrar till de berörda landspecifika rekommendationerna för 2024. Insatserna ligger väl i linje med de för programmet centrala principerna i den </w:t>
      </w:r>
      <w:r w:rsidR="008D23E2">
        <w:t xml:space="preserve">europeiska pelaren för </w:t>
      </w:r>
      <w:r>
        <w:t xml:space="preserve">sociala </w:t>
      </w:r>
      <w:r w:rsidR="008D23E2">
        <w:t>rättigheter</w:t>
      </w:r>
      <w:r>
        <w:t xml:space="preserve">. Programmets utformning innebär att det fortsatt kan bidra till att möta utmaningarna på arbetsmarknaden </w:t>
      </w:r>
      <w:r w:rsidR="006763F6">
        <w:t>givet</w:t>
      </w:r>
      <w:r>
        <w:t xml:space="preserve"> den aktuella socioekonomiska </w:t>
      </w:r>
      <w:r w:rsidR="006763F6">
        <w:t>situationen</w:t>
      </w:r>
      <w:r>
        <w:t xml:space="preserve">. Flertalet delmål per 2024 för programmet har uppnåtts och de slutliga målen för 2029 </w:t>
      </w:r>
      <w:r w:rsidR="006763F6">
        <w:t xml:space="preserve">bedöms </w:t>
      </w:r>
      <w:r>
        <w:t>uppnås</w:t>
      </w:r>
      <w:r w:rsidR="003A4B9F">
        <w:t>.</w:t>
      </w:r>
      <w:r>
        <w:t xml:space="preserve"> Mot denna bakgrund föreslår regeringen att</w:t>
      </w:r>
      <w:r w:rsidRPr="00612C99">
        <w:t xml:space="preserve"> de flexibilitetsbelopp som framgår av tabell 11 i programmet för ESF+ slutgiltigt tilldelas respektive programområde.</w:t>
      </w:r>
      <w:r w:rsidR="00D120C1">
        <w:t xml:space="preserve"> </w:t>
      </w:r>
      <w:r w:rsidR="00C431BA">
        <w:t>M</w:t>
      </w:r>
      <w:r w:rsidR="005D683F">
        <w:t xml:space="preserve">ed anledning </w:t>
      </w:r>
      <w:r w:rsidR="00C431BA">
        <w:t xml:space="preserve">av </w:t>
      </w:r>
      <w:r w:rsidR="005D683F">
        <w:t xml:space="preserve">att regeringen har beslutat om en </w:t>
      </w:r>
      <w:r w:rsidR="00C431BA">
        <w:t>justering av den valutakurs som tillämpas vid beräkning av de finansiella ramarna</w:t>
      </w:r>
      <w:r w:rsidR="006763F6">
        <w:t>,</w:t>
      </w:r>
      <w:r w:rsidR="00C431BA">
        <w:t xml:space="preserve"> </w:t>
      </w:r>
      <w:r w:rsidR="00D120C1">
        <w:t xml:space="preserve">vilken </w:t>
      </w:r>
      <w:r w:rsidR="006763F6" w:rsidRPr="006763F6">
        <w:t>innebär att ytterligare EU-medel tillgängliggörs i kronor</w:t>
      </w:r>
      <w:r w:rsidR="006763F6">
        <w:t>,</w:t>
      </w:r>
      <w:r w:rsidR="006763F6" w:rsidRPr="006763F6">
        <w:t xml:space="preserve"> </w:t>
      </w:r>
      <w:r w:rsidR="00C431BA">
        <w:t>föreslå</w:t>
      </w:r>
      <w:r w:rsidR="00D120C1">
        <w:t>s</w:t>
      </w:r>
      <w:r w:rsidR="000B0F84">
        <w:t xml:space="preserve"> </w:t>
      </w:r>
      <w:r w:rsidR="00C431BA">
        <w:t xml:space="preserve">att målen för utfallsindikatorerna </w:t>
      </w:r>
      <w:r w:rsidR="006763F6">
        <w:t xml:space="preserve">2029 </w:t>
      </w:r>
      <w:r w:rsidR="00C431BA">
        <w:t>(antalet deltagare och antalet projekt) revideras</w:t>
      </w:r>
      <w:r w:rsidR="006763F6">
        <w:t xml:space="preserve"> upp</w:t>
      </w:r>
      <w:r w:rsidR="00C431BA">
        <w:t xml:space="preserve">. </w:t>
      </w:r>
      <w:r w:rsidR="007F3DDC">
        <w:t xml:space="preserve">Målet </w:t>
      </w:r>
      <w:r w:rsidR="006763F6">
        <w:t>för antal</w:t>
      </w:r>
      <w:r w:rsidR="00D120C1">
        <w:t>et</w:t>
      </w:r>
      <w:r w:rsidR="006763F6">
        <w:t xml:space="preserve"> deltagare i </w:t>
      </w:r>
      <w:r w:rsidR="00277E8A">
        <w:t xml:space="preserve">programområde B </w:t>
      </w:r>
      <w:r w:rsidR="00F73E00">
        <w:t xml:space="preserve">(Öka möjligheten till arbete) </w:t>
      </w:r>
      <w:r w:rsidR="006763F6">
        <w:t xml:space="preserve">föreslås även revideras upp </w:t>
      </w:r>
      <w:r w:rsidR="005376F6">
        <w:t>med</w:t>
      </w:r>
      <w:r w:rsidR="00277E8A">
        <w:t xml:space="preserve"> hänsyn till </w:t>
      </w:r>
      <w:r w:rsidR="005D683F">
        <w:t xml:space="preserve">förändringar i genomförandet jämfört med ursprungliga antaganden. </w:t>
      </w:r>
    </w:p>
    <w:p w14:paraId="77AFC449" w14:textId="03658F14" w:rsidR="00564B97" w:rsidRPr="00564B97" w:rsidRDefault="00564B97" w:rsidP="005376F6">
      <w:pPr>
        <w:pStyle w:val="Rubrik1"/>
      </w:pPr>
      <w:r>
        <w:lastRenderedPageBreak/>
        <w:t xml:space="preserve">Bakgrund </w:t>
      </w:r>
    </w:p>
    <w:p w14:paraId="048DB7E7" w14:textId="0735410E" w:rsidR="0020345D" w:rsidRDefault="0020345D" w:rsidP="00941476">
      <w:pPr>
        <w:pStyle w:val="Brdtext"/>
      </w:pPr>
      <w:r>
        <w:t>I enlighet med artikel 18 i Europaparlamentets och rådets förordning (EU) 2021/1060</w:t>
      </w:r>
      <w:r>
        <w:rPr>
          <w:rStyle w:val="Fotnotsreferens"/>
        </w:rPr>
        <w:footnoteReference w:id="2"/>
      </w:r>
      <w:r>
        <w:t xml:space="preserve"> ska medlemsstaterna </w:t>
      </w:r>
      <w:r w:rsidR="00024FD3">
        <w:t xml:space="preserve">till Europeiska kommissionen </w:t>
      </w:r>
      <w:r>
        <w:t xml:space="preserve">lämna en bedömning för </w:t>
      </w:r>
      <w:r w:rsidR="00024FD3">
        <w:t xml:space="preserve">respektive </w:t>
      </w:r>
      <w:r>
        <w:t xml:space="preserve">fondprogram om resultatet av halvtidsöversynen, inbegripet ett förslag om slutlig tilldelning inom programmet av det s.k. flexibilitetsbeloppet. I halvtidsöversynen ska </w:t>
      </w:r>
      <w:proofErr w:type="gramStart"/>
      <w:r>
        <w:t>bl.a.</w:t>
      </w:r>
      <w:proofErr w:type="gramEnd"/>
      <w:r>
        <w:t xml:space="preserve"> utmaningarna som identifierats i de landspecifika rekommendationerna för 2024 och framstegen med att uppnå delmålen i programmet beaktas. </w:t>
      </w:r>
    </w:p>
    <w:p w14:paraId="4C3C8FFF" w14:textId="1CE1C7ED" w:rsidR="007F0F52" w:rsidRDefault="007F0F52" w:rsidP="007F0F52">
      <w:pPr>
        <w:pStyle w:val="Brdtext"/>
      </w:pPr>
      <w:r w:rsidRPr="007F0F52">
        <w:t>Det nationella programmet för ESF+</w:t>
      </w:r>
      <w:r>
        <w:t xml:space="preserve"> 2021–2027 (programmet för ESF+)</w:t>
      </w:r>
      <w:r w:rsidR="007F0594">
        <w:t xml:space="preserve">  </w:t>
      </w:r>
      <w:r>
        <w:t xml:space="preserve"> </w:t>
      </w:r>
      <w:r w:rsidR="00941476">
        <w:t xml:space="preserve">inriktas på </w:t>
      </w:r>
      <w:r>
        <w:t xml:space="preserve">insatser som </w:t>
      </w:r>
    </w:p>
    <w:p w14:paraId="4A6D16CF" w14:textId="77777777" w:rsidR="007F0F52" w:rsidRDefault="007F0F52" w:rsidP="007F0F52">
      <w:pPr>
        <w:pStyle w:val="Brdtext"/>
        <w:numPr>
          <w:ilvl w:val="0"/>
          <w:numId w:val="13"/>
        </w:numPr>
      </w:pPr>
      <w:r>
        <w:t xml:space="preserve">förstärker och utvecklar den nationella arbetsmarknadspolitiken, förbättrar tillgången till sysselsättning, ökar och bibehåller anställningsbarheten och bidrar till en bättre kompetensförsörjning </w:t>
      </w:r>
    </w:p>
    <w:p w14:paraId="5610CFA0" w14:textId="77777777" w:rsidR="007F0F52" w:rsidRDefault="007F0F52" w:rsidP="007F0F52">
      <w:pPr>
        <w:pStyle w:val="Brdtext"/>
        <w:numPr>
          <w:ilvl w:val="0"/>
          <w:numId w:val="13"/>
        </w:numPr>
      </w:pPr>
      <w:r>
        <w:t>främjar livslångt lärande</w:t>
      </w:r>
    </w:p>
    <w:p w14:paraId="5DFA1174" w14:textId="718907DE" w:rsidR="007F0F52" w:rsidRDefault="007F0F52" w:rsidP="007F0F52">
      <w:pPr>
        <w:pStyle w:val="Brdtext"/>
        <w:numPr>
          <w:ilvl w:val="0"/>
          <w:numId w:val="13"/>
        </w:numPr>
      </w:pPr>
      <w:r>
        <w:t xml:space="preserve">ger unga som varken arbetar eller studerar bättre möjligheter att etablera sig </w:t>
      </w:r>
      <w:r w:rsidR="00BA0AD3">
        <w:t xml:space="preserve">i </w:t>
      </w:r>
      <w:r>
        <w:t>arbets- och samhällslivet</w:t>
      </w:r>
    </w:p>
    <w:p w14:paraId="5D7C714C" w14:textId="77777777" w:rsidR="007F0F52" w:rsidRDefault="007F0F52" w:rsidP="007F0F52">
      <w:pPr>
        <w:pStyle w:val="Brdtext"/>
        <w:numPr>
          <w:ilvl w:val="0"/>
          <w:numId w:val="13"/>
        </w:numPr>
      </w:pPr>
      <w:r>
        <w:t xml:space="preserve">främjar integrationen av nyanlända </w:t>
      </w:r>
    </w:p>
    <w:p w14:paraId="0A134881" w14:textId="77777777" w:rsidR="007F0F52" w:rsidRDefault="007F0F52" w:rsidP="007F0F52">
      <w:pPr>
        <w:pStyle w:val="Brdtext"/>
        <w:numPr>
          <w:ilvl w:val="0"/>
          <w:numId w:val="13"/>
        </w:numPr>
      </w:pPr>
      <w:r>
        <w:t xml:space="preserve">främjar social inkludering. </w:t>
      </w:r>
    </w:p>
    <w:p w14:paraId="20D132D0" w14:textId="4B937AE4" w:rsidR="007F0F52" w:rsidRDefault="007F0F52" w:rsidP="007F0F52">
      <w:pPr>
        <w:pStyle w:val="Brdtext"/>
      </w:pPr>
      <w:r>
        <w:t xml:space="preserve">Programmet för ESF+ </w:t>
      </w:r>
      <w:r w:rsidR="007F3082">
        <w:t>omfattar</w:t>
      </w:r>
      <w:r w:rsidR="006962B3">
        <w:t xml:space="preserve"> </w:t>
      </w:r>
      <w:r>
        <w:t>följande prioriteringar</w:t>
      </w:r>
      <w:r w:rsidR="00874958">
        <w:t>.</w:t>
      </w:r>
      <w:r>
        <w:t xml:space="preserve"> </w:t>
      </w:r>
    </w:p>
    <w:p w14:paraId="14972703" w14:textId="1C3956FD" w:rsidR="007F0F52" w:rsidRDefault="007F0F52" w:rsidP="007F0F52">
      <w:pPr>
        <w:pStyle w:val="Strecklista"/>
        <w:numPr>
          <w:ilvl w:val="0"/>
          <w:numId w:val="0"/>
        </w:numPr>
        <w:ind w:left="425" w:hanging="425"/>
      </w:pPr>
      <w:r>
        <w:t>A</w:t>
      </w:r>
      <w:r w:rsidR="00871B1F">
        <w:t>.</w:t>
      </w:r>
      <w:r>
        <w:t xml:space="preserve"> Öka möjligheten till ett inkluderande och hållbart arbetsliv för alla</w:t>
      </w:r>
    </w:p>
    <w:p w14:paraId="05C06294" w14:textId="77777777" w:rsidR="007F0F52" w:rsidRDefault="007F0F52" w:rsidP="007F0F52">
      <w:pPr>
        <w:pStyle w:val="Strecklista"/>
        <w:numPr>
          <w:ilvl w:val="0"/>
          <w:numId w:val="0"/>
        </w:numPr>
        <w:ind w:left="425" w:hanging="425"/>
      </w:pPr>
      <w:r>
        <w:t>B. Öka möjligheten till arbete</w:t>
      </w:r>
    </w:p>
    <w:p w14:paraId="40927BFE" w14:textId="77777777" w:rsidR="007F0F52" w:rsidRDefault="007F0F52" w:rsidP="007F0F52">
      <w:pPr>
        <w:pStyle w:val="Strecklista"/>
        <w:numPr>
          <w:ilvl w:val="0"/>
          <w:numId w:val="0"/>
        </w:numPr>
        <w:ind w:left="425" w:hanging="425"/>
      </w:pPr>
      <w:r>
        <w:t>C. Minska risken för ekonomisk utsatthet</w:t>
      </w:r>
    </w:p>
    <w:p w14:paraId="4EAB89E7" w14:textId="77777777" w:rsidR="007F0F52" w:rsidRDefault="007F0F52" w:rsidP="007F0F52">
      <w:pPr>
        <w:pStyle w:val="Strecklista"/>
        <w:numPr>
          <w:ilvl w:val="0"/>
          <w:numId w:val="0"/>
        </w:numPr>
        <w:ind w:left="425" w:hanging="425"/>
      </w:pPr>
      <w:r>
        <w:t>D. Öka kapaciteten i den glesa geografin</w:t>
      </w:r>
    </w:p>
    <w:p w14:paraId="25D63976" w14:textId="77777777" w:rsidR="007F0F52" w:rsidRDefault="007F0F52" w:rsidP="007F0F52">
      <w:pPr>
        <w:pStyle w:val="Strecklista"/>
        <w:numPr>
          <w:ilvl w:val="0"/>
          <w:numId w:val="0"/>
        </w:numPr>
        <w:ind w:left="425" w:hanging="425"/>
      </w:pPr>
      <w:r>
        <w:t>E. Social innovation</w:t>
      </w:r>
    </w:p>
    <w:p w14:paraId="266735D7" w14:textId="77777777" w:rsidR="007F0F52" w:rsidRPr="008E2521" w:rsidRDefault="007F0F52" w:rsidP="007F0F52">
      <w:pPr>
        <w:pStyle w:val="Strecklista"/>
        <w:numPr>
          <w:ilvl w:val="0"/>
          <w:numId w:val="0"/>
        </w:numPr>
        <w:ind w:left="425" w:hanging="425"/>
      </w:pPr>
      <w:r w:rsidRPr="008E2521">
        <w:t>F</w:t>
      </w:r>
      <w:r>
        <w:t>.</w:t>
      </w:r>
      <w:r w:rsidRPr="008E2521">
        <w:t xml:space="preserve"> Fast-Care </w:t>
      </w:r>
    </w:p>
    <w:p w14:paraId="60894801" w14:textId="77777777" w:rsidR="007F0F52" w:rsidRDefault="007F0F52" w:rsidP="007F0F52">
      <w:pPr>
        <w:pStyle w:val="Brdtext"/>
      </w:pPr>
      <w:r w:rsidRPr="00C7358A">
        <w:lastRenderedPageBreak/>
        <w:t>De valda specifika målen</w:t>
      </w:r>
      <w:r w:rsidRPr="00C7358A">
        <w:rPr>
          <w:rStyle w:val="Fotnotsreferens"/>
        </w:rPr>
        <w:footnoteReference w:id="3"/>
      </w:r>
      <w:r w:rsidRPr="00C7358A">
        <w:t xml:space="preserve"> och prioriteringarna </w:t>
      </w:r>
      <w:r>
        <w:t xml:space="preserve">(programområdena) </w:t>
      </w:r>
      <w:r w:rsidRPr="00C7358A">
        <w:t xml:space="preserve">för programmet framgår av bilaga </w:t>
      </w:r>
      <w:r>
        <w:t>1</w:t>
      </w:r>
      <w:r w:rsidRPr="00C7358A">
        <w:t>.</w:t>
      </w:r>
      <w:r>
        <w:t xml:space="preserve"> </w:t>
      </w:r>
    </w:p>
    <w:p w14:paraId="70F38BB2" w14:textId="09808FCC" w:rsidR="008752CA" w:rsidRDefault="007F0594" w:rsidP="007F0F52">
      <w:pPr>
        <w:pStyle w:val="Brdtext"/>
      </w:pPr>
      <w:r>
        <w:t xml:space="preserve">Programmet </w:t>
      </w:r>
      <w:r w:rsidR="008752CA">
        <w:t>omfattar totalt ca 1</w:t>
      </w:r>
      <w:r w:rsidR="00712A26">
        <w:t> </w:t>
      </w:r>
      <w:r w:rsidR="008752CA">
        <w:t xml:space="preserve">625,6 miljoner euro, varav </w:t>
      </w:r>
      <w:r w:rsidR="008752CA" w:rsidRPr="002261C1">
        <w:t xml:space="preserve">706,7 </w:t>
      </w:r>
      <w:r w:rsidR="008752CA">
        <w:t xml:space="preserve">miljoner </w:t>
      </w:r>
      <w:r w:rsidR="00406591">
        <w:t xml:space="preserve">euro </w:t>
      </w:r>
      <w:r w:rsidR="005E05B0">
        <w:t xml:space="preserve">i EU-medel och 918,9 miljoner </w:t>
      </w:r>
      <w:r w:rsidR="00406591">
        <w:t xml:space="preserve">euro </w:t>
      </w:r>
      <w:r w:rsidR="005E05B0">
        <w:t xml:space="preserve">i nationell medfinansiering. Av EU-medlen uppgår flexibilitetsbeloppet till </w:t>
      </w:r>
      <w:r>
        <w:t xml:space="preserve">totalt </w:t>
      </w:r>
      <w:r w:rsidR="005E05B0">
        <w:t>106,0 miljoner euro. B</w:t>
      </w:r>
      <w:r w:rsidR="008752CA">
        <w:t>elopp</w:t>
      </w:r>
      <w:r w:rsidR="005E05B0">
        <w:t>et</w:t>
      </w:r>
      <w:r w:rsidR="008752CA">
        <w:t xml:space="preserve"> motsvarar 50 procent av bidraget för 2026 och 2027</w:t>
      </w:r>
      <w:r w:rsidR="005E05B0">
        <w:t xml:space="preserve">. </w:t>
      </w:r>
    </w:p>
    <w:p w14:paraId="6400000B" w14:textId="631590D5" w:rsidR="00AE341B" w:rsidRDefault="00AE341B" w:rsidP="007F0F52">
      <w:pPr>
        <w:pStyle w:val="Brdtext"/>
      </w:pPr>
      <w:r>
        <w:t>I förordning (</w:t>
      </w:r>
      <w:r w:rsidR="000C69B0">
        <w:t>1999:710</w:t>
      </w:r>
      <w:r>
        <w:t xml:space="preserve">) </w:t>
      </w:r>
      <w:r w:rsidR="000C69B0">
        <w:t>om valutakurs vid stöd från EU-budgeten</w:t>
      </w:r>
      <w:r w:rsidR="00464C70">
        <w:t xml:space="preserve"> anges den kurs som ska användas vid beräkning av finansiella ramar för </w:t>
      </w:r>
      <w:proofErr w:type="gramStart"/>
      <w:r w:rsidR="00464C70">
        <w:t>bl.a.</w:t>
      </w:r>
      <w:proofErr w:type="gramEnd"/>
      <w:r w:rsidR="00464C70">
        <w:t xml:space="preserve"> programmet för ESF+</w:t>
      </w:r>
      <w:r w:rsidR="000C69B0">
        <w:t xml:space="preserve">. </w:t>
      </w:r>
      <w:r>
        <w:t xml:space="preserve">Regeringen har </w:t>
      </w:r>
      <w:r w:rsidR="00464C70">
        <w:t xml:space="preserve">genom beslut den </w:t>
      </w:r>
      <w:r w:rsidR="009F1A5B">
        <w:t xml:space="preserve">19 december 2024 </w:t>
      </w:r>
      <w:r w:rsidR="008D31C2">
        <w:t xml:space="preserve">om </w:t>
      </w:r>
      <w:r w:rsidR="00464C70">
        <w:t>ändring</w:t>
      </w:r>
      <w:r w:rsidR="009F1A5B">
        <w:rPr>
          <w:rStyle w:val="Fotnotsreferens"/>
        </w:rPr>
        <w:footnoteReference w:id="4"/>
      </w:r>
      <w:r w:rsidR="00464C70">
        <w:t xml:space="preserve"> av förordningen justerat denna kurs från 9,30 kronor per euro till 10,50 kronor per euro. </w:t>
      </w:r>
      <w:r w:rsidR="002C79CC">
        <w:t xml:space="preserve">Justeringen innebär att de beräknade EU-medlen för programmet </w:t>
      </w:r>
      <w:r w:rsidR="008B3B49">
        <w:t xml:space="preserve">för ESF+ </w:t>
      </w:r>
      <w:r w:rsidR="002C79CC">
        <w:t xml:space="preserve">ökar från </w:t>
      </w:r>
      <w:r w:rsidR="009403A8">
        <w:t>ca 6 572 miljoner kronor till ca 7 420 miljoner kronor</w:t>
      </w:r>
      <w:r w:rsidR="005C5509">
        <w:t xml:space="preserve">. </w:t>
      </w:r>
      <w:r w:rsidR="00972F3E">
        <w:t xml:space="preserve">Ytterligare 848 miljoner </w:t>
      </w:r>
      <w:r w:rsidR="005C255B">
        <w:t>kronor</w:t>
      </w:r>
      <w:r w:rsidR="000A553E">
        <w:rPr>
          <w:rStyle w:val="Fotnotsreferens"/>
        </w:rPr>
        <w:footnoteReference w:id="5"/>
      </w:r>
      <w:r w:rsidR="00972F3E">
        <w:t xml:space="preserve"> tillgängliggörs därmed inom programmet. </w:t>
      </w:r>
      <w:r w:rsidR="009403A8">
        <w:t xml:space="preserve"> </w:t>
      </w:r>
      <w:r w:rsidR="002C79CC">
        <w:t xml:space="preserve"> </w:t>
      </w:r>
    </w:p>
    <w:p w14:paraId="20CBCC76" w14:textId="723D2F90" w:rsidR="00992A43" w:rsidRPr="00C7358A" w:rsidRDefault="00992A43" w:rsidP="005376F6">
      <w:pPr>
        <w:pStyle w:val="Rubrik1"/>
      </w:pPr>
      <w:r w:rsidRPr="00C7358A">
        <w:t>De utmaningar som identifieras i de relevanta landspecifika rekommendationerna för 2024</w:t>
      </w:r>
    </w:p>
    <w:p w14:paraId="4C6622C1" w14:textId="668371DD" w:rsidR="00700523" w:rsidRDefault="007E66B3" w:rsidP="009C4BD1">
      <w:pPr>
        <w:pStyle w:val="Brdtext"/>
      </w:pPr>
      <w:r>
        <w:t xml:space="preserve">Av </w:t>
      </w:r>
      <w:r w:rsidR="0027740C">
        <w:t>rådets rekommendation</w:t>
      </w:r>
      <w:r w:rsidR="00B112EF">
        <w:t>er</w:t>
      </w:r>
      <w:r w:rsidR="0027740C">
        <w:t xml:space="preserve"> </w:t>
      </w:r>
      <w:r w:rsidR="00C458A3">
        <w:t xml:space="preserve">för 2024 </w:t>
      </w:r>
      <w:r w:rsidR="0027740C">
        <w:t>om Sveriges ekonomiska politik, socialpolitik,</w:t>
      </w:r>
      <w:r w:rsidR="001B4F34">
        <w:t xml:space="preserve"> sysselsättningspolitik,</w:t>
      </w:r>
      <w:r w:rsidR="0027740C">
        <w:t xml:space="preserve"> </w:t>
      </w:r>
      <w:proofErr w:type="spellStart"/>
      <w:r w:rsidR="0027740C">
        <w:t>strukt</w:t>
      </w:r>
      <w:r w:rsidR="008658E1">
        <w:t>ur</w:t>
      </w:r>
      <w:r w:rsidR="00124A80">
        <w:t>politik</w:t>
      </w:r>
      <w:proofErr w:type="spellEnd"/>
      <w:r w:rsidR="00124A80">
        <w:t xml:space="preserve"> och budgetpolitik</w:t>
      </w:r>
      <w:r w:rsidR="00C458A3">
        <w:rPr>
          <w:rStyle w:val="Fotnotsreferens"/>
        </w:rPr>
        <w:footnoteReference w:id="6"/>
      </w:r>
      <w:r w:rsidR="00124A80">
        <w:t xml:space="preserve"> </w:t>
      </w:r>
      <w:r w:rsidR="00C458A3" w:rsidDel="00C458A3">
        <w:t xml:space="preserve"> </w:t>
      </w:r>
      <w:r w:rsidR="008658E1">
        <w:t>(de landspecifika reko</w:t>
      </w:r>
      <w:r w:rsidR="00124A80">
        <w:t xml:space="preserve">mmendationerna) </w:t>
      </w:r>
      <w:r>
        <w:t xml:space="preserve">är </w:t>
      </w:r>
      <w:r w:rsidR="00732A78">
        <w:t xml:space="preserve">följande centrala </w:t>
      </w:r>
      <w:r w:rsidR="00C32DB9">
        <w:t xml:space="preserve">för </w:t>
      </w:r>
      <w:r w:rsidR="00732A78">
        <w:t xml:space="preserve">halvtidsöversynen av </w:t>
      </w:r>
      <w:r w:rsidR="00B45E31">
        <w:t>pr</w:t>
      </w:r>
      <w:r w:rsidR="007E0D45">
        <w:t>o</w:t>
      </w:r>
      <w:r w:rsidR="00B45E31">
        <w:t xml:space="preserve">grammet </w:t>
      </w:r>
      <w:r w:rsidR="00991E8C">
        <w:t>för E</w:t>
      </w:r>
      <w:r w:rsidR="00B45E31">
        <w:t>SF+</w:t>
      </w:r>
      <w:r w:rsidR="001070ED">
        <w:rPr>
          <w:rStyle w:val="Fotnotsreferens"/>
        </w:rPr>
        <w:footnoteReference w:id="7"/>
      </w:r>
      <w:r w:rsidR="00991E8C">
        <w:t xml:space="preserve">.  </w:t>
      </w:r>
      <w:r w:rsidR="00700523">
        <w:t xml:space="preserve"> </w:t>
      </w:r>
    </w:p>
    <w:p w14:paraId="2EE55BEE" w14:textId="741FF966" w:rsidR="005701F5" w:rsidRPr="00C26F94" w:rsidRDefault="00991E8C" w:rsidP="006E38F9">
      <w:pPr>
        <w:pStyle w:val="Brdtext"/>
        <w:numPr>
          <w:ilvl w:val="0"/>
          <w:numId w:val="13"/>
        </w:numPr>
        <w:rPr>
          <w:i/>
          <w:iCs/>
        </w:rPr>
      </w:pPr>
      <w:bookmarkStart w:id="0" w:name="_Hlk179455609"/>
      <w:r w:rsidRPr="00C7358A">
        <w:t>R</w:t>
      </w:r>
      <w:r w:rsidR="00700523" w:rsidRPr="00C7358A">
        <w:t>ekommendation 2</w:t>
      </w:r>
      <w:r w:rsidR="00353C5D" w:rsidRPr="00C7358A">
        <w:t>:</w:t>
      </w:r>
      <w:r w:rsidR="00700523" w:rsidRPr="00C7358A">
        <w:t xml:space="preserve"> </w:t>
      </w:r>
      <w:r w:rsidR="00732A78" w:rsidRPr="00C7358A">
        <w:t>[...]</w:t>
      </w:r>
      <w:r w:rsidR="00732A78">
        <w:t xml:space="preserve"> </w:t>
      </w:r>
      <w:r w:rsidR="00700523" w:rsidRPr="00C26F94">
        <w:rPr>
          <w:i/>
          <w:iCs/>
        </w:rPr>
        <w:t xml:space="preserve">Påskynda genomförandet av de sammanhållningspolitiska programmen. Inom ramen för halvtidsöversynen fortsätta att fokusera på de överenskomna prioriteringarna, samtidigt som man beaktar de möjligheter som den europeiska plattformen </w:t>
      </w:r>
      <w:r w:rsidR="005701F5" w:rsidRPr="00C26F94">
        <w:rPr>
          <w:i/>
          <w:iCs/>
        </w:rPr>
        <w:t xml:space="preserve">för strategisk teknik erbjuder för att förbättra konkurrenskraften. </w:t>
      </w:r>
    </w:p>
    <w:p w14:paraId="28B389ED" w14:textId="5E9ACD35" w:rsidR="00124A80" w:rsidRPr="00C26F94" w:rsidRDefault="005701F5" w:rsidP="006E38F9">
      <w:pPr>
        <w:pStyle w:val="Brdtext"/>
        <w:numPr>
          <w:ilvl w:val="0"/>
          <w:numId w:val="13"/>
        </w:numPr>
        <w:rPr>
          <w:i/>
          <w:iCs/>
        </w:rPr>
      </w:pPr>
      <w:r w:rsidRPr="00C7358A">
        <w:t>Rekommendation 3:</w:t>
      </w:r>
      <w:r>
        <w:t xml:space="preserve"> </w:t>
      </w:r>
      <w:r w:rsidR="007E66B3" w:rsidRPr="00C26F94">
        <w:rPr>
          <w:i/>
          <w:iCs/>
        </w:rPr>
        <w:t>Förbätt</w:t>
      </w:r>
      <w:r w:rsidR="00B112EF" w:rsidRPr="00C26F94">
        <w:rPr>
          <w:i/>
          <w:iCs/>
        </w:rPr>
        <w:t xml:space="preserve">ra utbildningsresultaten, även för elever från mindre gynnade socioekonomiska grupper och elever med migrantbakgrund, genom att ta itu med den bestående bristen på kvalificerade lärare, säkerställa lika möjligheter till tillträde till skolsystemet och ge ytterligare stöd för att elever </w:t>
      </w:r>
      <w:r w:rsidR="00B112EF" w:rsidRPr="00C26F94">
        <w:rPr>
          <w:i/>
          <w:iCs/>
        </w:rPr>
        <w:lastRenderedPageBreak/>
        <w:t xml:space="preserve">ska kunna gå vidare till gymnasiet. Utveckla arbetskraftens kompetens, särskilt vad gäller personer från mindre gynnade socioekonomiska grupper och med migrantbakgrund, genom riktade politiska åtgärder och resurser för att underlätta deras integration på arbetsmarknaden. </w:t>
      </w:r>
    </w:p>
    <w:bookmarkEnd w:id="0"/>
    <w:p w14:paraId="58F7322B" w14:textId="7CDFF267" w:rsidR="009C4BD1" w:rsidRDefault="006C2B97" w:rsidP="009C4BD1">
      <w:pPr>
        <w:pStyle w:val="Brdtext"/>
      </w:pPr>
      <w:r w:rsidRPr="00C7358A">
        <w:t xml:space="preserve">I </w:t>
      </w:r>
      <w:r w:rsidRPr="002869E6">
        <w:rPr>
          <w:i/>
          <w:iCs/>
        </w:rPr>
        <w:t>landrapporten</w:t>
      </w:r>
      <w:r w:rsidR="00D27B70">
        <w:rPr>
          <w:rStyle w:val="Fotnotsreferens"/>
        </w:rPr>
        <w:footnoteReference w:id="8"/>
      </w:r>
      <w:r w:rsidRPr="00C7358A">
        <w:t xml:space="preserve"> för</w:t>
      </w:r>
      <w:r>
        <w:t xml:space="preserve"> Sverige </w:t>
      </w:r>
      <w:r w:rsidR="00BB6FBE">
        <w:t>konstatera</w:t>
      </w:r>
      <w:r w:rsidR="00B54250">
        <w:t>r</w:t>
      </w:r>
      <w:r w:rsidR="009C4BD1">
        <w:t xml:space="preserve"> </w:t>
      </w:r>
      <w:r w:rsidR="004370A8">
        <w:t>E</w:t>
      </w:r>
      <w:r w:rsidR="006D7AAA">
        <w:t xml:space="preserve">uropeiska </w:t>
      </w:r>
      <w:r w:rsidR="00B54250">
        <w:t xml:space="preserve">kommissionen i fråga om halvtidsöversynen </w:t>
      </w:r>
      <w:proofErr w:type="gramStart"/>
      <w:r w:rsidR="009C4BD1">
        <w:t>bl.a.</w:t>
      </w:r>
      <w:proofErr w:type="gramEnd"/>
      <w:r w:rsidR="009C4BD1">
        <w:t xml:space="preserve"> </w:t>
      </w:r>
      <w:r w:rsidR="00D74116">
        <w:t xml:space="preserve">att </w:t>
      </w:r>
      <w:r w:rsidR="009C4BD1">
        <w:t xml:space="preserve">Sverige har gjort framsteg i genomförandet av </w:t>
      </w:r>
      <w:r w:rsidR="005C5509">
        <w:t xml:space="preserve">de </w:t>
      </w:r>
      <w:r w:rsidR="009C4BD1">
        <w:t>sammanhållningspolitiska program</w:t>
      </w:r>
      <w:r w:rsidR="005C5509">
        <w:t>men</w:t>
      </w:r>
      <w:r w:rsidR="009C4BD1">
        <w:t xml:space="preserve"> och den europeiska pelaren för sociala rättigheter, men att det kvarstår utmaningar som beskrivs i rapporten</w:t>
      </w:r>
      <w:r w:rsidR="00D74CA1">
        <w:t xml:space="preserve">. </w:t>
      </w:r>
      <w:r w:rsidR="009C4BD1">
        <w:t xml:space="preserve">Vad gäller insatser som programmet för ESF+ </w:t>
      </w:r>
      <w:r w:rsidR="005C5509">
        <w:t xml:space="preserve">omfattar </w:t>
      </w:r>
      <w:r w:rsidR="009C4BD1">
        <w:t xml:space="preserve">lyfter kommissionen </w:t>
      </w:r>
      <w:r w:rsidR="00D74CA1">
        <w:t xml:space="preserve">främst </w:t>
      </w:r>
      <w:r w:rsidR="009C4BD1">
        <w:t>fram behovet av att utveckla färdigheter</w:t>
      </w:r>
      <w:r w:rsidR="00E60789">
        <w:t>,</w:t>
      </w:r>
      <w:r w:rsidR="009C4BD1">
        <w:t xml:space="preserve"> </w:t>
      </w:r>
      <w:r w:rsidR="009C4BD1" w:rsidRPr="00143156">
        <w:t>sär</w:t>
      </w:r>
      <w:r w:rsidR="009C4BD1">
        <w:t>s</w:t>
      </w:r>
      <w:r w:rsidR="009C4BD1" w:rsidRPr="00143156">
        <w:t>kilt för</w:t>
      </w:r>
      <w:r w:rsidR="009C4BD1">
        <w:t xml:space="preserve"> utsatta grupper och i synnerhet utrikesfödda</w:t>
      </w:r>
      <w:r w:rsidR="005C5509">
        <w:t xml:space="preserve">. </w:t>
      </w:r>
      <w:r w:rsidR="009C4BD1">
        <w:t>Kommissionen anger också att Sverige kan dra nytta av</w:t>
      </w:r>
      <w:r w:rsidR="000540DD">
        <w:t xml:space="preserve"> </w:t>
      </w:r>
      <w:r w:rsidR="009C4BD1">
        <w:t xml:space="preserve">den europeiska plattformen om strategisk teknik (STEP) för att öka investeringarna i teknik som </w:t>
      </w:r>
      <w:r w:rsidR="00BD1B60">
        <w:t xml:space="preserve">stödjer </w:t>
      </w:r>
      <w:r w:rsidR="009C4BD1">
        <w:t>den gröna omställningen, däribland insatser för att åtgärda kompetensbrist.</w:t>
      </w:r>
      <w:r w:rsidR="00104CFE">
        <w:rPr>
          <w:rStyle w:val="Fotnotsreferens"/>
        </w:rPr>
        <w:footnoteReference w:id="9"/>
      </w:r>
      <w:r w:rsidR="009C4BD1">
        <w:t xml:space="preserve"> </w:t>
      </w:r>
    </w:p>
    <w:p w14:paraId="1E4C7E27" w14:textId="5A5D5628" w:rsidR="009C4BD1" w:rsidRPr="00907CC5" w:rsidRDefault="009C4BD1" w:rsidP="009C4BD1">
      <w:pPr>
        <w:pStyle w:val="Brdtext"/>
        <w:rPr>
          <w:i/>
          <w:iCs/>
        </w:rPr>
      </w:pPr>
      <w:r>
        <w:t xml:space="preserve">I </w:t>
      </w:r>
      <w:r w:rsidR="00D74116">
        <w:t>bilaga 14</w:t>
      </w:r>
      <w:r w:rsidR="005A7945">
        <w:rPr>
          <w:rStyle w:val="Fotnotsreferens"/>
        </w:rPr>
        <w:footnoteReference w:id="10"/>
      </w:r>
      <w:r w:rsidR="00D74116">
        <w:t xml:space="preserve"> till </w:t>
      </w:r>
      <w:r>
        <w:t xml:space="preserve">landrapporten </w:t>
      </w:r>
      <w:r w:rsidR="00D74116">
        <w:t xml:space="preserve">beskrivs </w:t>
      </w:r>
      <w:r>
        <w:t>att den svenska arbetsmarknaden över</w:t>
      </w:r>
      <w:r w:rsidR="00912BDF">
        <w:t xml:space="preserve"> </w:t>
      </w:r>
      <w:r>
        <w:t>lag presterar väl och att sysselsättningsgraden fortsatt är bland de högsta inom EU</w:t>
      </w:r>
      <w:r w:rsidR="00A20C23">
        <w:t xml:space="preserve">. </w:t>
      </w:r>
      <w:r w:rsidR="005A7945">
        <w:t xml:space="preserve">Vidare </w:t>
      </w:r>
      <w:r w:rsidR="004370A8">
        <w:t xml:space="preserve">beskrivs </w:t>
      </w:r>
      <w:r w:rsidR="005A7945">
        <w:t>a</w:t>
      </w:r>
      <w:r w:rsidR="00A20C23">
        <w:t xml:space="preserve">tt </w:t>
      </w:r>
      <w:r w:rsidRPr="007519CC">
        <w:t xml:space="preserve">arbetslösheten </w:t>
      </w:r>
      <w:r w:rsidR="005A7945">
        <w:t xml:space="preserve">dock </w:t>
      </w:r>
      <w:r w:rsidRPr="007519CC">
        <w:t xml:space="preserve">är högre än EU-genomsnittet och att utmaningar kvarstår för vissa grupper, framför allt för utrikesfödda. Även behovet av kompetenshöjande insatser och omställning berörs </w:t>
      </w:r>
      <w:r>
        <w:t xml:space="preserve">i rapporten. </w:t>
      </w:r>
      <w:r w:rsidRPr="00C7358A">
        <w:t xml:space="preserve">Kommissionen </w:t>
      </w:r>
      <w:r w:rsidR="005A7945" w:rsidRPr="00C7358A">
        <w:t>konstatera</w:t>
      </w:r>
      <w:r w:rsidR="007362C8" w:rsidRPr="00C7358A">
        <w:t>r</w:t>
      </w:r>
      <w:r w:rsidR="005A7945" w:rsidRPr="00C7358A">
        <w:t xml:space="preserve"> </w:t>
      </w:r>
      <w:r w:rsidRPr="00C7358A">
        <w:t>att programmet för ESF+ innehåller insatser för dem som är längst från arbetsmarknaden och insatser inom kompetensutveckling.</w:t>
      </w:r>
      <w:r w:rsidRPr="009D40A9">
        <w:t xml:space="preserve"> </w:t>
      </w:r>
      <w:r>
        <w:t xml:space="preserve">På det sociala området </w:t>
      </w:r>
      <w:r w:rsidR="005A7945">
        <w:t xml:space="preserve">påpekar </w:t>
      </w:r>
      <w:r>
        <w:t xml:space="preserve">kommissionen </w:t>
      </w:r>
      <w:proofErr w:type="gramStart"/>
      <w:r>
        <w:t>bl.a.</w:t>
      </w:r>
      <w:proofErr w:type="gramEnd"/>
      <w:r>
        <w:t xml:space="preserve"> att riskerna för fattigdom eller social utestängning</w:t>
      </w:r>
      <w:r w:rsidR="00B65F5C">
        <w:t xml:space="preserve"> liksom </w:t>
      </w:r>
      <w:r>
        <w:t>inkomstskillnader</w:t>
      </w:r>
      <w:r w:rsidR="005A7945">
        <w:t xml:space="preserve">na </w:t>
      </w:r>
      <w:r>
        <w:t xml:space="preserve">har ökat i Sverige. </w:t>
      </w:r>
      <w:r w:rsidR="00606FB5" w:rsidRPr="00C7358A">
        <w:t>H</w:t>
      </w:r>
      <w:r w:rsidRPr="00C7358A">
        <w:t xml:space="preserve">är nämner kommissionen </w:t>
      </w:r>
      <w:r w:rsidR="00B65F5C" w:rsidRPr="00C7358A">
        <w:t xml:space="preserve">satsningen </w:t>
      </w:r>
      <w:r w:rsidRPr="00C7358A">
        <w:t xml:space="preserve">i programmet för ESF+ </w:t>
      </w:r>
      <w:r w:rsidR="00B65F5C" w:rsidRPr="00C7358A">
        <w:t xml:space="preserve">på </w:t>
      </w:r>
      <w:r w:rsidRPr="00C7358A">
        <w:t>att minska ekonomisk utsatthet och bidra till ett inkluderande samhälle.</w:t>
      </w:r>
      <w:r>
        <w:t xml:space="preserve"> </w:t>
      </w:r>
    </w:p>
    <w:p w14:paraId="3F1F752F" w14:textId="37D4B1AF" w:rsidR="00CE16C6" w:rsidRPr="0017189C" w:rsidRDefault="00860C70" w:rsidP="00533CC5">
      <w:pPr>
        <w:pStyle w:val="Rubrik4utannumrering"/>
      </w:pPr>
      <w:r w:rsidRPr="0017189C">
        <w:t>Regeringen</w:t>
      </w:r>
      <w:r w:rsidR="00CE16C6" w:rsidRPr="0017189C">
        <w:t>s bedömning</w:t>
      </w:r>
    </w:p>
    <w:p w14:paraId="5A1BE134" w14:textId="01C065A4" w:rsidR="00594A21" w:rsidRDefault="00CE16C6" w:rsidP="00BF32F8">
      <w:pPr>
        <w:pStyle w:val="Brdtext"/>
      </w:pPr>
      <w:r>
        <w:rPr>
          <w:i/>
          <w:iCs/>
        </w:rPr>
        <w:t>Rekommendation 2:</w:t>
      </w:r>
      <w:r w:rsidR="003467CD">
        <w:t xml:space="preserve"> När det gäller rekommendationen att påskynda genomförandet av de sammanhållspolitiska programmen bedömer r</w:t>
      </w:r>
      <w:r w:rsidRPr="001E3838">
        <w:t xml:space="preserve">egeringen </w:t>
      </w:r>
      <w:r w:rsidR="00860C70" w:rsidRPr="001E3838">
        <w:t xml:space="preserve">att </w:t>
      </w:r>
      <w:r w:rsidR="00860C70" w:rsidRPr="00C7358A">
        <w:t xml:space="preserve">genomförandet av programmet </w:t>
      </w:r>
      <w:r w:rsidR="00FD1DB6" w:rsidRPr="00C7358A">
        <w:t xml:space="preserve">för ESF+ </w:t>
      </w:r>
      <w:r w:rsidR="00024B89" w:rsidRPr="00C7358A">
        <w:t>fortskrider i god takt.</w:t>
      </w:r>
      <w:r w:rsidR="00024B89" w:rsidRPr="001E3838">
        <w:t xml:space="preserve"> </w:t>
      </w:r>
      <w:r w:rsidR="00F00A54">
        <w:t xml:space="preserve">Insatserna i programmet </w:t>
      </w:r>
      <w:r w:rsidR="00024B89" w:rsidRPr="001E3838">
        <w:t xml:space="preserve">startade vid årsskiftet 2022/23 </w:t>
      </w:r>
      <w:r w:rsidR="009B2DC0" w:rsidRPr="001E3838">
        <w:t xml:space="preserve">och har </w:t>
      </w:r>
      <w:r w:rsidR="00FD1DB6" w:rsidRPr="001E3838">
        <w:t xml:space="preserve">därmed </w:t>
      </w:r>
      <w:r w:rsidR="009B2DC0" w:rsidRPr="001E3838">
        <w:lastRenderedPageBreak/>
        <w:t>pågått i drygt två</w:t>
      </w:r>
      <w:r w:rsidR="00FF2A92">
        <w:t xml:space="preserve"> år</w:t>
      </w:r>
      <w:r w:rsidR="009B2DC0" w:rsidRPr="001E3838">
        <w:t xml:space="preserve">. </w:t>
      </w:r>
      <w:bookmarkStart w:id="1" w:name="_Hlk179460974"/>
      <w:r w:rsidR="009B2DC0" w:rsidRPr="001E3838">
        <w:t xml:space="preserve">Per </w:t>
      </w:r>
      <w:r w:rsidR="00BB1608">
        <w:t xml:space="preserve">den </w:t>
      </w:r>
      <w:r w:rsidR="001E3838" w:rsidRPr="001E3838">
        <w:t>31 decembe</w:t>
      </w:r>
      <w:r w:rsidR="00483BF1">
        <w:t>r</w:t>
      </w:r>
      <w:r w:rsidR="001E3838" w:rsidRPr="001E3838">
        <w:t xml:space="preserve"> 2</w:t>
      </w:r>
      <w:r w:rsidR="009B2DC0" w:rsidRPr="001E3838">
        <w:t xml:space="preserve">024 har </w:t>
      </w:r>
      <w:r w:rsidR="008F27E6" w:rsidRPr="00E55F15">
        <w:t xml:space="preserve">ca </w:t>
      </w:r>
      <w:r w:rsidR="00B439EF" w:rsidRPr="00F65BF4">
        <w:t>4</w:t>
      </w:r>
      <w:r w:rsidR="00990D6F">
        <w:t>9</w:t>
      </w:r>
      <w:r w:rsidR="009B40EB">
        <w:t xml:space="preserve"> </w:t>
      </w:r>
      <w:r w:rsidR="00024B89" w:rsidRPr="001E3838">
        <w:t>procent</w:t>
      </w:r>
      <w:r w:rsidR="00F61FC4">
        <w:rPr>
          <w:rStyle w:val="Fotnotsreferens"/>
        </w:rPr>
        <w:footnoteReference w:id="11"/>
      </w:r>
      <w:r w:rsidR="00024B89" w:rsidRPr="001E3838">
        <w:t xml:space="preserve"> av </w:t>
      </w:r>
      <w:bookmarkStart w:id="2" w:name="_Hlk183770820"/>
      <w:r w:rsidR="008F27E6" w:rsidRPr="002261C1">
        <w:t>EU-medlen</w:t>
      </w:r>
      <w:r w:rsidR="00633999" w:rsidRPr="002261C1">
        <w:t xml:space="preserve"> om totalt 70</w:t>
      </w:r>
      <w:r w:rsidR="00716C23" w:rsidRPr="002261C1">
        <w:t xml:space="preserve">6,7 miljoner euro </w:t>
      </w:r>
      <w:bookmarkEnd w:id="2"/>
      <w:r w:rsidR="00024B89" w:rsidRPr="001E3838">
        <w:t>inteckna</w:t>
      </w:r>
      <w:r w:rsidR="00FD1DB6" w:rsidRPr="001E3838">
        <w:t xml:space="preserve">ts </w:t>
      </w:r>
      <w:r w:rsidR="009B2DC0" w:rsidRPr="001E3838">
        <w:t>genom beslut om s</w:t>
      </w:r>
      <w:r w:rsidR="00792E33">
        <w:t>t</w:t>
      </w:r>
      <w:r w:rsidR="009B2DC0" w:rsidRPr="001E3838">
        <w:t>öd till projekt</w:t>
      </w:r>
      <w:r w:rsidR="00FD1DB6" w:rsidRPr="001E3838">
        <w:t xml:space="preserve">. </w:t>
      </w:r>
      <w:r w:rsidR="007519CC" w:rsidRPr="00F65BF4">
        <w:t xml:space="preserve">Totalt </w:t>
      </w:r>
      <w:r w:rsidR="00E55F15" w:rsidRPr="00F65BF4">
        <w:t>1</w:t>
      </w:r>
      <w:r w:rsidR="00990D6F">
        <w:t>8</w:t>
      </w:r>
      <w:r w:rsidR="007519CC" w:rsidRPr="00F65BF4">
        <w:t xml:space="preserve"> </w:t>
      </w:r>
      <w:r w:rsidR="00FD1DB6" w:rsidRPr="00F65BF4">
        <w:t>procent</w:t>
      </w:r>
      <w:r w:rsidR="00FD1DB6" w:rsidRPr="001E3838">
        <w:t xml:space="preserve"> av </w:t>
      </w:r>
      <w:r w:rsidR="007519CC">
        <w:t>EU-</w:t>
      </w:r>
      <w:r w:rsidR="00FD1DB6" w:rsidRPr="001E3838">
        <w:t xml:space="preserve">medlen </w:t>
      </w:r>
      <w:r w:rsidR="00413944">
        <w:t xml:space="preserve">i euro </w:t>
      </w:r>
      <w:r w:rsidR="00FD1DB6" w:rsidRPr="001E3838">
        <w:t>är utbetalade inom programmet</w:t>
      </w:r>
      <w:r w:rsidR="0042460B">
        <w:t xml:space="preserve">. </w:t>
      </w:r>
      <w:bookmarkEnd w:id="1"/>
      <w:r w:rsidR="00B95C8E">
        <w:t xml:space="preserve">Den förvaltande myndigheten, Svenska ESF-rådet, planerar att hålla en fortsatt god takt i genomförandet av programmet. </w:t>
      </w:r>
      <w:r w:rsidR="00B12764">
        <w:t>Avsikten är att ta beslut om ytterligare ca 25 procent av programmedlen under 2025, vilket skulle innebära att mindre än en fjärdedel av medlen återstår för 2026 och 2027. Utbetalningstakten är för närvarande mycket hög</w:t>
      </w:r>
      <w:r w:rsidR="00D04947">
        <w:t>.</w:t>
      </w:r>
      <w:r w:rsidR="00911566">
        <w:t xml:space="preserve"> </w:t>
      </w:r>
      <w:r w:rsidR="00911566" w:rsidDel="00911566">
        <w:t xml:space="preserve"> </w:t>
      </w:r>
    </w:p>
    <w:p w14:paraId="6491CB13" w14:textId="2D623FF9" w:rsidR="00013163" w:rsidRPr="00111826" w:rsidRDefault="00D54AAB" w:rsidP="00BF32F8">
      <w:pPr>
        <w:pStyle w:val="Brdtext"/>
      </w:pPr>
      <w:r w:rsidRPr="00C7358A">
        <w:t>Den europeiska plattformen för strategisk teknik</w:t>
      </w:r>
      <w:r w:rsidRPr="00C32655">
        <w:t xml:space="preserve"> (STEP)</w:t>
      </w:r>
      <w:r>
        <w:rPr>
          <w:rStyle w:val="Fotnotsreferens"/>
          <w:rFonts w:ascii="Garamond" w:hAnsi="Garamond" w:cs="Garamond"/>
        </w:rPr>
        <w:footnoteReference w:id="12"/>
      </w:r>
      <w:r w:rsidRPr="00C32655">
        <w:t xml:space="preserve"> är inriktad på att</w:t>
      </w:r>
      <w:r>
        <w:rPr>
          <w:rFonts w:asciiTheme="majorHAnsi" w:eastAsiaTheme="majorEastAsia" w:hAnsiTheme="majorHAnsi" w:cstheme="majorBidi"/>
          <w:bCs/>
          <w:sz w:val="22"/>
          <w:szCs w:val="26"/>
        </w:rPr>
        <w:t xml:space="preserve"> </w:t>
      </w:r>
      <w:r>
        <w:t xml:space="preserve">stärka EU:s konkurrenskraft och ska </w:t>
      </w:r>
      <w:proofErr w:type="gramStart"/>
      <w:r>
        <w:t>bl.a.</w:t>
      </w:r>
      <w:proofErr w:type="gramEnd"/>
      <w:r>
        <w:t xml:space="preserve"> stödja utvecklingen och tillverkningen av kritisk teknik inom tre sektorer: digital teknik och teknikintensiva innovationer, ren och resurseffektiv teknik respektive bioteknik. STEP ska också åtgärda arbetskraftsbrist i dessa sektorer och i det avseendet kan finansiering från ESF+ användas för insatser för kompetensutveckling. </w:t>
      </w:r>
      <w:r w:rsidR="00CC0F33">
        <w:t xml:space="preserve">Möjligheterna med STEP har noterats. </w:t>
      </w:r>
      <w:r w:rsidR="00013163">
        <w:t xml:space="preserve">Regeringen </w:t>
      </w:r>
      <w:r w:rsidR="00B95C8E">
        <w:t xml:space="preserve">konstaterar </w:t>
      </w:r>
      <w:r w:rsidR="00CC0F33">
        <w:t xml:space="preserve">dock </w:t>
      </w:r>
      <w:r w:rsidR="00053685">
        <w:t xml:space="preserve">att </w:t>
      </w:r>
      <w:r w:rsidR="00B95C8E">
        <w:t xml:space="preserve">programmet för ESF+ </w:t>
      </w:r>
      <w:r w:rsidR="00AF7868">
        <w:t xml:space="preserve">(programområde A1 Öka möjligheten till ett inkluderande och hållbart arbetsliv för alla) </w:t>
      </w:r>
      <w:r w:rsidR="007D5E19">
        <w:t xml:space="preserve">på </w:t>
      </w:r>
      <w:r w:rsidR="006A1466">
        <w:t xml:space="preserve">ett flexibelt sätt </w:t>
      </w:r>
      <w:r w:rsidR="00AE7A41">
        <w:t xml:space="preserve">kan stödja </w:t>
      </w:r>
      <w:r w:rsidR="00B95C8E">
        <w:t xml:space="preserve">insatser </w:t>
      </w:r>
      <w:r w:rsidR="00AE7A41" w:rsidRPr="00831CFE">
        <w:t xml:space="preserve">för </w:t>
      </w:r>
      <w:r w:rsidR="00B95C8E" w:rsidRPr="00831CFE">
        <w:t>kompetensutveckling</w:t>
      </w:r>
      <w:r w:rsidR="00BD7C3D" w:rsidRPr="00831CFE">
        <w:t xml:space="preserve"> </w:t>
      </w:r>
      <w:r w:rsidR="00AE7A41" w:rsidRPr="00831CFE">
        <w:t xml:space="preserve">inom alla sektorer på </w:t>
      </w:r>
      <w:r w:rsidR="00BD124B" w:rsidRPr="00831CFE">
        <w:t>arbetsmarknaden</w:t>
      </w:r>
      <w:r w:rsidR="00912BDF">
        <w:t>.</w:t>
      </w:r>
      <w:r w:rsidR="00831CFE" w:rsidRPr="00831CFE">
        <w:t xml:space="preserve"> </w:t>
      </w:r>
      <w:r w:rsidR="00A15038">
        <w:t>I sammanhanget kan också som exempel nämnas att det pågår projekt inom Volvo med inriktning på kompetensutveckling inom elektrifiering, digitalisering och automatisering för att möta teknikomställningen.</w:t>
      </w:r>
      <w:r w:rsidR="0017200E">
        <w:t xml:space="preserve"> </w:t>
      </w:r>
      <w:r w:rsidR="007F51CA">
        <w:t xml:space="preserve">Regeringen </w:t>
      </w:r>
      <w:r w:rsidR="00CC0F33">
        <w:t xml:space="preserve">har inte </w:t>
      </w:r>
      <w:r w:rsidR="007F51CA">
        <w:t>se</w:t>
      </w:r>
      <w:r w:rsidR="00CC0F33">
        <w:t>tt</w:t>
      </w:r>
      <w:r w:rsidR="007F51CA">
        <w:t xml:space="preserve"> </w:t>
      </w:r>
      <w:r w:rsidR="00B95C8E" w:rsidRPr="00831CFE">
        <w:t xml:space="preserve">behov </w:t>
      </w:r>
      <w:r w:rsidR="000465A5" w:rsidRPr="00831CFE">
        <w:t xml:space="preserve">av </w:t>
      </w:r>
      <w:r w:rsidR="00B95C8E" w:rsidRPr="00831CFE">
        <w:t xml:space="preserve">att ändra programmet för ESF+ </w:t>
      </w:r>
      <w:proofErr w:type="gramStart"/>
      <w:r w:rsidR="00B95C8E" w:rsidRPr="00831CFE">
        <w:t>med</w:t>
      </w:r>
      <w:r w:rsidR="003467CD">
        <w:t xml:space="preserve"> </w:t>
      </w:r>
      <w:r w:rsidR="00B95C8E" w:rsidRPr="00831CFE">
        <w:t>anledning</w:t>
      </w:r>
      <w:proofErr w:type="gramEnd"/>
      <w:r w:rsidR="00B95C8E" w:rsidRPr="00831CFE">
        <w:t xml:space="preserve"> av STEP. </w:t>
      </w:r>
    </w:p>
    <w:p w14:paraId="298E837B" w14:textId="3B0E04EE" w:rsidR="00271355" w:rsidRPr="00271355" w:rsidRDefault="00271355" w:rsidP="00BF32F8">
      <w:pPr>
        <w:pStyle w:val="Brdtext"/>
      </w:pPr>
      <w:r>
        <w:t xml:space="preserve">Regeringen bedömer </w:t>
      </w:r>
      <w:r w:rsidR="00F7045B">
        <w:t>därmed att</w:t>
      </w:r>
      <w:r w:rsidR="00605A65">
        <w:t xml:space="preserve"> programmet för ESF+ </w:t>
      </w:r>
      <w:r w:rsidR="00F7045B">
        <w:t xml:space="preserve">bidrar till att </w:t>
      </w:r>
      <w:r w:rsidR="00A55356">
        <w:t>uppfyll</w:t>
      </w:r>
      <w:r w:rsidR="00F7045B">
        <w:t>a</w:t>
      </w:r>
      <w:r w:rsidR="00A55356">
        <w:t xml:space="preserve"> </w:t>
      </w:r>
      <w:r w:rsidR="00397369">
        <w:t xml:space="preserve">landspecifik </w:t>
      </w:r>
      <w:r w:rsidR="00605A65">
        <w:t xml:space="preserve">rekommendation 2. </w:t>
      </w:r>
    </w:p>
    <w:p w14:paraId="01E12E3B" w14:textId="0AE33A83" w:rsidR="000A4011" w:rsidRPr="000A4011" w:rsidRDefault="0096525B" w:rsidP="002C126D">
      <w:pPr>
        <w:pStyle w:val="Brdtext"/>
      </w:pPr>
      <w:r w:rsidRPr="00C7358A">
        <w:rPr>
          <w:i/>
          <w:iCs/>
        </w:rPr>
        <w:t>Rekommendation 3:</w:t>
      </w:r>
      <w:r w:rsidR="00A55356">
        <w:rPr>
          <w:i/>
          <w:iCs/>
        </w:rPr>
        <w:t xml:space="preserve"> </w:t>
      </w:r>
      <w:r w:rsidR="00111826">
        <w:t>När det gäller rekommendationen att förbättra utbildningsresultaten</w:t>
      </w:r>
      <w:r w:rsidR="00CC0F33">
        <w:t xml:space="preserve"> </w:t>
      </w:r>
      <w:r w:rsidR="00F979E6">
        <w:t>är det</w:t>
      </w:r>
      <w:r w:rsidR="00911566">
        <w:t xml:space="preserve"> e</w:t>
      </w:r>
      <w:r w:rsidR="000750B2">
        <w:t xml:space="preserve">n prioritering för regeringen att </w:t>
      </w:r>
      <w:r w:rsidR="000750B2" w:rsidRPr="00A224BA">
        <w:t>höja kunskapsresultaten och öka likvärdigheten i skolan. Alla barn, unga och vuxna ska oavsett bakgrund, uppväxtmiljö eller andra förhållanden ges förutsättningar att pröva och utveckla sin förmåga och sina kunskaper till sin fulla potential.</w:t>
      </w:r>
      <w:r w:rsidR="000750B2">
        <w:t xml:space="preserve"> </w:t>
      </w:r>
      <w:r w:rsidR="00707155">
        <w:t xml:space="preserve">Det kan konstateras </w:t>
      </w:r>
      <w:r w:rsidR="000750B2">
        <w:t xml:space="preserve">att </w:t>
      </w:r>
      <w:r w:rsidR="000750B2" w:rsidRPr="00A224BA">
        <w:t>vissa grupper är särskilt utsatta, däribland nyanlända elever, elever i social utsatthet</w:t>
      </w:r>
      <w:r w:rsidR="00730EA2">
        <w:t xml:space="preserve">, elever med </w:t>
      </w:r>
      <w:r w:rsidR="00730EA2">
        <w:lastRenderedPageBreak/>
        <w:t>funktionsnedsättning</w:t>
      </w:r>
      <w:r w:rsidR="000750B2" w:rsidRPr="00A224BA">
        <w:t xml:space="preserve"> och elever med föräldrar med låg utbildningsnivå vilket kan få negativa konsekvenser för likvärdigheten. S</w:t>
      </w:r>
      <w:r w:rsidR="00063003">
        <w:t xml:space="preserve">verige </w:t>
      </w:r>
      <w:r w:rsidR="000750B2" w:rsidRPr="00A224BA">
        <w:t>har mot denna bakgrund genomfört ett flertal stora satsningar för att stödja huvudmän och enskilda skolor i deras strävan att erbjuda barn och elever en likvärdig utbildning av hög kvalite</w:t>
      </w:r>
      <w:r w:rsidR="00EE31AC">
        <w:t xml:space="preserve">t. </w:t>
      </w:r>
      <w:r w:rsidR="000A4011" w:rsidRPr="000A4011">
        <w:t xml:space="preserve"> </w:t>
      </w:r>
    </w:p>
    <w:p w14:paraId="373AFFE2" w14:textId="25EF3896" w:rsidR="006E7901" w:rsidRDefault="00D57D45" w:rsidP="002C126D">
      <w:pPr>
        <w:pStyle w:val="Brdtext"/>
      </w:pPr>
      <w:bookmarkStart w:id="3" w:name="_Hlk187150719"/>
      <w:r>
        <w:t>P</w:t>
      </w:r>
      <w:r w:rsidR="000750B2" w:rsidRPr="00C7358A">
        <w:t>rogrammet för ESF+</w:t>
      </w:r>
      <w:r>
        <w:t xml:space="preserve"> möjliggör insatser som </w:t>
      </w:r>
      <w:r w:rsidR="007334A3">
        <w:t xml:space="preserve">på ett värdefullt sätt </w:t>
      </w:r>
      <w:r w:rsidR="00822A4A">
        <w:t xml:space="preserve">kan </w:t>
      </w:r>
      <w:r>
        <w:t xml:space="preserve">komplettera de nationella </w:t>
      </w:r>
      <w:r w:rsidR="000750B2" w:rsidRPr="00C7358A">
        <w:t>satsningar</w:t>
      </w:r>
      <w:r>
        <w:t>na</w:t>
      </w:r>
      <w:r w:rsidR="000750B2" w:rsidRPr="00C7358A">
        <w:t xml:space="preserve">. </w:t>
      </w:r>
      <w:r w:rsidR="006609F2" w:rsidRPr="00C7358A">
        <w:t>Inom programområde A2</w:t>
      </w:r>
      <w:r w:rsidR="006609F2">
        <w:t xml:space="preserve"> (Öka möjligheten till ett inkluderande och hållbart arbetsliv för alla) </w:t>
      </w:r>
      <w:r w:rsidR="00BC0377">
        <w:t xml:space="preserve">kan </w:t>
      </w:r>
      <w:proofErr w:type="gramStart"/>
      <w:r w:rsidR="006609F2">
        <w:t>bl.a.</w:t>
      </w:r>
      <w:proofErr w:type="gramEnd"/>
      <w:r w:rsidR="006609F2">
        <w:t xml:space="preserve"> insatser som leder till att fler individer slutför reguljära utbildningar på grundskole-, gymnasial och eftergymnasial nivå</w:t>
      </w:r>
      <w:r>
        <w:t xml:space="preserve"> prioriteras</w:t>
      </w:r>
      <w:r w:rsidR="006609F2">
        <w:t xml:space="preserve">. </w:t>
      </w:r>
      <w:r>
        <w:t xml:space="preserve">Projekt som genomförs handlar </w:t>
      </w:r>
      <w:proofErr w:type="gramStart"/>
      <w:r>
        <w:t>bl.a.</w:t>
      </w:r>
      <w:proofErr w:type="gramEnd"/>
      <w:r>
        <w:t xml:space="preserve"> om </w:t>
      </w:r>
      <w:r w:rsidR="006609F2">
        <w:t>insatser för att motverka studieavbrott och att individer hamnar i utanförskap</w:t>
      </w:r>
      <w:r w:rsidR="001864D6">
        <w:t xml:space="preserve">, samt om uppsökande arbete </w:t>
      </w:r>
      <w:r w:rsidR="00E22B59">
        <w:t xml:space="preserve">med </w:t>
      </w:r>
      <w:r w:rsidR="001864D6">
        <w:t xml:space="preserve">unga som varken arbetar eller studerar. </w:t>
      </w:r>
    </w:p>
    <w:bookmarkEnd w:id="3"/>
    <w:p w14:paraId="36F3D26B" w14:textId="3FE1A3FB" w:rsidR="00186C8F" w:rsidRDefault="00606FB5" w:rsidP="00CD43D8">
      <w:pPr>
        <w:pStyle w:val="Brdtext"/>
      </w:pPr>
      <w:r w:rsidRPr="00707155">
        <w:t>Inom programområde C (</w:t>
      </w:r>
      <w:r>
        <w:t>Minska risken för ekonomisk utsatthet) prioriteras insatser som leder till minskat utanförskap och minskad risk för ekonomisk utsatthet. Insatserna ska syft</w:t>
      </w:r>
      <w:r w:rsidR="00907CC5">
        <w:t>a</w:t>
      </w:r>
      <w:r>
        <w:t xml:space="preserve"> till att fler individer kommer i arbete eller utbildning och på så sätt närmar sig arbetsmarknaden. För barn kan insatserna innebära stärkt skolgång, meningsfull fritid och ökad social gemenskap</w:t>
      </w:r>
      <w:r w:rsidRPr="00E42E50">
        <w:t>.</w:t>
      </w:r>
      <w:r w:rsidR="00944A0E">
        <w:t xml:space="preserve"> Pågående projekt för att motverka barnfattigdom syftar </w:t>
      </w:r>
      <w:r w:rsidR="00944A0E" w:rsidRPr="004B09BD">
        <w:t xml:space="preserve">framför allt </w:t>
      </w:r>
      <w:r w:rsidR="00944A0E">
        <w:t xml:space="preserve">till </w:t>
      </w:r>
      <w:r w:rsidR="00944A0E" w:rsidRPr="004B09BD">
        <w:t xml:space="preserve">att </w:t>
      </w:r>
      <w:r w:rsidR="00944A0E">
        <w:t>erbjuda</w:t>
      </w:r>
      <w:r w:rsidR="00944A0E" w:rsidRPr="004B09BD">
        <w:t xml:space="preserve"> barnen en mer aktiv och organiserad fritid</w:t>
      </w:r>
      <w:r w:rsidR="00944A0E">
        <w:t xml:space="preserve">, genom befintliga eller nyskapade aktiviteter. </w:t>
      </w:r>
      <w:r w:rsidR="00D25722">
        <w:t>I</w:t>
      </w:r>
      <w:r w:rsidR="00944A0E">
        <w:t xml:space="preserve">nsatserna </w:t>
      </w:r>
      <w:r w:rsidR="00D25722">
        <w:t xml:space="preserve">har riktats </w:t>
      </w:r>
      <w:r w:rsidR="00944A0E">
        <w:t>till kommuner som har områden på Polisens lista för särskilt utsatta områden. Ny</w:t>
      </w:r>
      <w:r w:rsidR="00D25722">
        <w:t>a</w:t>
      </w:r>
      <w:r w:rsidR="00944A0E">
        <w:t xml:space="preserve"> insatser kommer att påbörjas under 2025 i kommuner med hög barnfattigdom och färre än 20 000 invånare.</w:t>
      </w:r>
    </w:p>
    <w:p w14:paraId="4F439057" w14:textId="1C8FB732" w:rsidR="00592C0F" w:rsidRDefault="00111826" w:rsidP="00592C0F">
      <w:pPr>
        <w:pStyle w:val="Brdtext"/>
      </w:pPr>
      <w:r>
        <w:t>När det gäller</w:t>
      </w:r>
      <w:r w:rsidR="000750B2" w:rsidRPr="000750B2">
        <w:t xml:space="preserve"> </w:t>
      </w:r>
      <w:r w:rsidR="000750B2">
        <w:t xml:space="preserve">rekommendationen att </w:t>
      </w:r>
      <w:r w:rsidR="000750B2" w:rsidRPr="00707155">
        <w:t>utveckla arbetskraftens kompetens,</w:t>
      </w:r>
      <w:r w:rsidR="000750B2" w:rsidRPr="000750B2">
        <w:t xml:space="preserve"> särskilt vad gäller personer från mindre gynnade socioekonomiska grupper och med migrantbakgrund, genom riktade politiska åtgärder och resurser för att underlätta deras integration på arbetsmarknaden</w:t>
      </w:r>
      <w:r w:rsidR="00F979E6">
        <w:t>,</w:t>
      </w:r>
      <w:r w:rsidR="006E38F9">
        <w:t xml:space="preserve"> </w:t>
      </w:r>
      <w:r w:rsidR="00EE31AC">
        <w:t>motsvaras detta av</w:t>
      </w:r>
      <w:r w:rsidR="000A4011">
        <w:t xml:space="preserve"> </w:t>
      </w:r>
      <w:r w:rsidR="00356CBA">
        <w:t>omfattande insatser inom programmet för ESF+</w:t>
      </w:r>
      <w:r w:rsidR="00482EA0">
        <w:t>.</w:t>
      </w:r>
      <w:r w:rsidR="00CD43D8">
        <w:t xml:space="preserve"> </w:t>
      </w:r>
      <w:r w:rsidR="00592C0F">
        <w:t xml:space="preserve">Exempelvis pågår i programområde A2 </w:t>
      </w:r>
      <w:r w:rsidR="00CA5E3D">
        <w:t>(</w:t>
      </w:r>
      <w:r w:rsidR="00CA5E3D" w:rsidRPr="00707155">
        <w:t xml:space="preserve">Öka möjligheten till ett inkluderande och hållbart arbetsliv för alla) </w:t>
      </w:r>
      <w:r w:rsidR="00592C0F">
        <w:t xml:space="preserve">insatser för personer som är i behov av kommunala arbetsmarknadsåtgärder. Insatserna omfattar </w:t>
      </w:r>
      <w:proofErr w:type="gramStart"/>
      <w:r w:rsidR="00482EA0">
        <w:t>bl.a.</w:t>
      </w:r>
      <w:proofErr w:type="gramEnd"/>
      <w:r w:rsidR="00592C0F">
        <w:t xml:space="preserve"> arbetslösa vuxna </w:t>
      </w:r>
      <w:r w:rsidR="00337663">
        <w:t xml:space="preserve">som är </w:t>
      </w:r>
      <w:r w:rsidR="00592C0F">
        <w:t xml:space="preserve">inskrivna på Arbetsförmedlingen </w:t>
      </w:r>
      <w:r w:rsidR="00337663">
        <w:t>och</w:t>
      </w:r>
      <w:r w:rsidR="00592C0F">
        <w:t xml:space="preserve"> uppbär försörjningsstöd, där det konstaterats att </w:t>
      </w:r>
      <w:r w:rsidR="006E78EE">
        <w:t xml:space="preserve">Arbetsförmedlingen </w:t>
      </w:r>
      <w:r w:rsidR="00592C0F">
        <w:t xml:space="preserve">inte har upphandlade tjänster att tillgå. Det pågår även insatser som syftar till arbete för unga vuxna i utanförskap. </w:t>
      </w:r>
      <w:r w:rsidR="00592C0F">
        <w:lastRenderedPageBreak/>
        <w:t xml:space="preserve">Det finns </w:t>
      </w:r>
      <w:r w:rsidR="00F32941">
        <w:t xml:space="preserve">också </w:t>
      </w:r>
      <w:r w:rsidR="00592C0F">
        <w:t xml:space="preserve">liknande satsningar för att underlätta inträdet på arbetsmarknaden för </w:t>
      </w:r>
      <w:proofErr w:type="gramStart"/>
      <w:r w:rsidR="00592C0F">
        <w:t>bl.a.</w:t>
      </w:r>
      <w:proofErr w:type="gramEnd"/>
      <w:r w:rsidR="00592C0F">
        <w:t xml:space="preserve"> personer med utländsk bakgrund.  </w:t>
      </w:r>
    </w:p>
    <w:p w14:paraId="25842936" w14:textId="56B3D037" w:rsidR="00482EA0" w:rsidRPr="00356CBA" w:rsidRDefault="008C26B6" w:rsidP="00482EA0">
      <w:pPr>
        <w:pStyle w:val="Brdtext"/>
      </w:pPr>
      <w:r w:rsidRPr="00707155">
        <w:t>Inom programområde A1 (Öka möjligheten till ett inkluderande och hållbart arbetsliv för alla)</w:t>
      </w:r>
      <w:r w:rsidR="004048F7" w:rsidRPr="00707155">
        <w:t xml:space="preserve"> </w:t>
      </w:r>
      <w:r w:rsidRPr="00707155">
        <w:t>prioriteras på individnivå insatser som le</w:t>
      </w:r>
      <w:r w:rsidR="004048F7" w:rsidRPr="00707155">
        <w:t>der till att fler individer har kompetens som möter arbetsmarknadens behov</w:t>
      </w:r>
      <w:r w:rsidR="0094055B">
        <w:t xml:space="preserve">. </w:t>
      </w:r>
      <w:r w:rsidR="00482EA0">
        <w:t xml:space="preserve">I hittillsvarande projektutlysningar har en betydande del inriktning på att möjliggöra kompetensutveckling för en förändrad arbetsmarknad. Utlysningarna har i regel varit breda för att inte exkludera någon sektor, men gemensamt för dem har varit kompetensutveckling för att stärka individens ställning på arbetsmarknaden. Det pågår exempelvis även insatser som syftar till att förebygga risken för sjukskrivningar i arbetslivet. </w:t>
      </w:r>
    </w:p>
    <w:p w14:paraId="1E31DCD8" w14:textId="04DCE3DE" w:rsidR="009B40EB" w:rsidRPr="009B40EB" w:rsidRDefault="009B40EB" w:rsidP="00BF32F8">
      <w:pPr>
        <w:pStyle w:val="Brdtext"/>
      </w:pPr>
      <w:r w:rsidRPr="00D05B5D">
        <w:t>Regeringen bedömer</w:t>
      </w:r>
      <w:r>
        <w:t xml:space="preserve"> </w:t>
      </w:r>
      <w:r w:rsidR="00111826">
        <w:t xml:space="preserve">därmed </w:t>
      </w:r>
      <w:r>
        <w:t>att</w:t>
      </w:r>
      <w:r w:rsidR="009E0400">
        <w:t xml:space="preserve"> </w:t>
      </w:r>
      <w:r w:rsidR="00903850">
        <w:t xml:space="preserve">programmet för ESF+ bidrar </w:t>
      </w:r>
      <w:r w:rsidR="00822F9F">
        <w:t xml:space="preserve">till att uppfylla </w:t>
      </w:r>
      <w:r w:rsidR="00D203F9">
        <w:t xml:space="preserve">landspecifik </w:t>
      </w:r>
      <w:r w:rsidR="00822F9F">
        <w:t>rekommendation 3</w:t>
      </w:r>
      <w:r w:rsidR="00707155">
        <w:t xml:space="preserve">. </w:t>
      </w:r>
    </w:p>
    <w:p w14:paraId="7CA37172" w14:textId="57443FEF" w:rsidR="00CD050C" w:rsidRDefault="00A01429" w:rsidP="00C32DB9">
      <w:pPr>
        <w:pStyle w:val="Rubrik1"/>
      </w:pPr>
      <w:bookmarkStart w:id="4" w:name="_Hlk185234655"/>
      <w:r>
        <w:t>Framstegen med genomförandet av principerna i den sociala p</w:t>
      </w:r>
      <w:r w:rsidR="00B93DF4">
        <w:t>elaren för sociala rättigheter</w:t>
      </w:r>
    </w:p>
    <w:p w14:paraId="35E53882" w14:textId="31A9279D" w:rsidR="00EA00DC" w:rsidRDefault="001C1A59" w:rsidP="009541A4">
      <w:pPr>
        <w:pStyle w:val="Brdtext"/>
      </w:pPr>
      <w:r w:rsidRPr="009541A4">
        <w:t xml:space="preserve">Programmet för ESF+ ska stödja det politiska målet Ett mer socialt Europa och den europeiska </w:t>
      </w:r>
      <w:r w:rsidR="007370C4" w:rsidRPr="009541A4">
        <w:t>pelaren för sociala rättigheter</w:t>
      </w:r>
      <w:r w:rsidRPr="009541A4">
        <w:t xml:space="preserve">. Insatserna inom programmet </w:t>
      </w:r>
      <w:r w:rsidR="007370C4" w:rsidRPr="009541A4">
        <w:t>s</w:t>
      </w:r>
      <w:r w:rsidR="000750B2" w:rsidRPr="009541A4">
        <w:t xml:space="preserve">tödjer </w:t>
      </w:r>
      <w:r w:rsidR="007370C4" w:rsidRPr="009541A4">
        <w:t xml:space="preserve">framför </w:t>
      </w:r>
      <w:r w:rsidRPr="009541A4">
        <w:t xml:space="preserve">allt </w:t>
      </w:r>
      <w:r w:rsidR="007370C4" w:rsidRPr="009541A4">
        <w:t xml:space="preserve">principerna om aktiva arbetsmarknadsåtgärder, utbildning och livslångt lärande samt jämställdhet och lika möjligheter. </w:t>
      </w:r>
    </w:p>
    <w:p w14:paraId="7F808C8E" w14:textId="26920413" w:rsidR="00207859" w:rsidRDefault="00EA00DC" w:rsidP="00207859">
      <w:pPr>
        <w:pStyle w:val="Brdtext"/>
      </w:pPr>
      <w:r>
        <w:t xml:space="preserve">Den </w:t>
      </w:r>
      <w:r w:rsidR="009541A4" w:rsidRPr="009541A4">
        <w:t>social</w:t>
      </w:r>
      <w:r>
        <w:t>a</w:t>
      </w:r>
      <w:r w:rsidR="009541A4" w:rsidRPr="009541A4">
        <w:t xml:space="preserve"> resultattavla</w:t>
      </w:r>
      <w:r>
        <w:t>n</w:t>
      </w:r>
      <w:r w:rsidR="009541A4" w:rsidRPr="009541A4">
        <w:t xml:space="preserve"> speglar pelaren och innehåller </w:t>
      </w:r>
      <w:r w:rsidR="00C50C87">
        <w:t xml:space="preserve">bland annat </w:t>
      </w:r>
      <w:r w:rsidR="009541A4" w:rsidRPr="009541A4">
        <w:t xml:space="preserve">särskilda indikatorer </w:t>
      </w:r>
      <w:proofErr w:type="gramStart"/>
      <w:r w:rsidR="009541A4" w:rsidRPr="009541A4">
        <w:t>för</w:t>
      </w:r>
      <w:r w:rsidR="009E4267">
        <w:t xml:space="preserve"> </w:t>
      </w:r>
      <w:r w:rsidR="009541A4" w:rsidRPr="009541A4">
        <w:t xml:space="preserve"> social</w:t>
      </w:r>
      <w:proofErr w:type="gramEnd"/>
      <w:r w:rsidR="009541A4" w:rsidRPr="009541A4">
        <w:t xml:space="preserve"> inkludering och socialt skydd. </w:t>
      </w:r>
      <w:r w:rsidR="00207859">
        <w:t>I tabell A14.1 i bilaga 14 till landrapporten redovisa</w:t>
      </w:r>
      <w:r w:rsidR="009269DD">
        <w:t xml:space="preserve">s </w:t>
      </w:r>
      <w:r w:rsidR="00207859">
        <w:t xml:space="preserve">hur Sverige ligger till i förhållande till </w:t>
      </w:r>
      <w:r w:rsidR="00907AEB">
        <w:t xml:space="preserve">indikatorerna </w:t>
      </w:r>
      <w:r w:rsidR="00207859">
        <w:t xml:space="preserve">i den </w:t>
      </w:r>
      <w:r w:rsidR="00207859" w:rsidRPr="00DE64DC">
        <w:t>sociala resultattavlan</w:t>
      </w:r>
      <w:r w:rsidR="00207859">
        <w:t>. Bedömningen följer en sjugradig skala (</w:t>
      </w:r>
      <w:r w:rsidR="00207859" w:rsidRPr="00393759">
        <w:rPr>
          <w:i/>
          <w:iCs/>
        </w:rPr>
        <w:t>B</w:t>
      </w:r>
      <w:r w:rsidR="00AA3424">
        <w:rPr>
          <w:i/>
          <w:iCs/>
        </w:rPr>
        <w:t xml:space="preserve">äst </w:t>
      </w:r>
      <w:r w:rsidR="00207859" w:rsidRPr="00393759">
        <w:rPr>
          <w:i/>
          <w:iCs/>
        </w:rPr>
        <w:t>p</w:t>
      </w:r>
      <w:r w:rsidR="00AA3424">
        <w:rPr>
          <w:i/>
          <w:iCs/>
        </w:rPr>
        <w:t xml:space="preserve">resterande </w:t>
      </w:r>
      <w:r w:rsidR="00207859">
        <w:t xml:space="preserve">till </w:t>
      </w:r>
      <w:r w:rsidR="00AA3424">
        <w:rPr>
          <w:i/>
          <w:iCs/>
        </w:rPr>
        <w:t>kritiskt</w:t>
      </w:r>
      <w:r w:rsidR="00207859">
        <w:t xml:space="preserve">). Nedan finns ett urval av </w:t>
      </w:r>
      <w:r w:rsidR="00907AEB">
        <w:t xml:space="preserve">indikatorer </w:t>
      </w:r>
      <w:r w:rsidR="00207859">
        <w:t xml:space="preserve">som </w:t>
      </w:r>
      <w:r w:rsidR="00E42E50">
        <w:t xml:space="preserve">kan </w:t>
      </w:r>
      <w:r w:rsidR="00207859">
        <w:t>bedöm</w:t>
      </w:r>
      <w:r w:rsidR="00E42E50">
        <w:t>a</w:t>
      </w:r>
      <w:r w:rsidR="00207859">
        <w:t xml:space="preserve">s </w:t>
      </w:r>
      <w:r w:rsidR="00E42E50">
        <w:t xml:space="preserve">vara </w:t>
      </w:r>
      <w:r w:rsidR="00207859">
        <w:t>relevanta för programmet för ESF+.</w:t>
      </w:r>
    </w:p>
    <w:p w14:paraId="4BE99EE9" w14:textId="77777777" w:rsidR="00780029" w:rsidRDefault="00780029" w:rsidP="00207859">
      <w:pPr>
        <w:pStyle w:val="Brdtext"/>
      </w:pPr>
    </w:p>
    <w:p w14:paraId="696A5A10" w14:textId="77777777" w:rsidR="00780029" w:rsidRDefault="00780029" w:rsidP="00207859">
      <w:pPr>
        <w:pStyle w:val="Brdtext"/>
      </w:pPr>
    </w:p>
    <w:p w14:paraId="3EE75C81" w14:textId="77777777" w:rsidR="00780029" w:rsidRDefault="00780029" w:rsidP="00207859">
      <w:pPr>
        <w:pStyle w:val="Brdtext"/>
      </w:pPr>
    </w:p>
    <w:tbl>
      <w:tblPr>
        <w:tblStyle w:val="Tabellrutnt"/>
        <w:tblW w:w="8613" w:type="dxa"/>
        <w:tblLayout w:type="fixed"/>
        <w:tblLook w:val="06A0" w:firstRow="1" w:lastRow="0" w:firstColumn="1" w:lastColumn="0" w:noHBand="1" w:noVBand="1"/>
      </w:tblPr>
      <w:tblGrid>
        <w:gridCol w:w="2295"/>
        <w:gridCol w:w="17"/>
        <w:gridCol w:w="1057"/>
        <w:gridCol w:w="708"/>
        <w:gridCol w:w="709"/>
        <w:gridCol w:w="672"/>
        <w:gridCol w:w="746"/>
        <w:gridCol w:w="994"/>
        <w:gridCol w:w="565"/>
        <w:gridCol w:w="850"/>
      </w:tblGrid>
      <w:tr w:rsidR="00207859" w14:paraId="039857F6" w14:textId="77777777" w:rsidTr="002261C1">
        <w:trPr>
          <w:trHeight w:val="399"/>
        </w:trPr>
        <w:tc>
          <w:tcPr>
            <w:tcW w:w="8613" w:type="dxa"/>
            <w:gridSpan w:val="10"/>
          </w:tcPr>
          <w:p w14:paraId="019D1E19" w14:textId="3BE1DF59" w:rsidR="00207859" w:rsidRPr="003F4A2F" w:rsidRDefault="000A4164" w:rsidP="00B15916">
            <w:pPr>
              <w:pStyle w:val="Brdtext"/>
              <w:rPr>
                <w:b/>
                <w:bCs/>
                <w:sz w:val="16"/>
                <w:szCs w:val="16"/>
              </w:rPr>
            </w:pPr>
            <w:r>
              <w:rPr>
                <w:b/>
                <w:bCs/>
              </w:rPr>
              <w:lastRenderedPageBreak/>
              <w:t>U</w:t>
            </w:r>
            <w:r w:rsidR="00713E9E">
              <w:rPr>
                <w:b/>
                <w:bCs/>
              </w:rPr>
              <w:t xml:space="preserve">ppgifter </w:t>
            </w:r>
            <w:r>
              <w:rPr>
                <w:b/>
                <w:bCs/>
              </w:rPr>
              <w:t>från s</w:t>
            </w:r>
            <w:r w:rsidR="00207859" w:rsidRPr="003F4A2F">
              <w:rPr>
                <w:b/>
                <w:bCs/>
              </w:rPr>
              <w:t xml:space="preserve">ociala resultattavlan, </w:t>
            </w:r>
            <w:r w:rsidR="00713E9E">
              <w:rPr>
                <w:b/>
                <w:bCs/>
              </w:rPr>
              <w:t>r</w:t>
            </w:r>
            <w:r w:rsidR="00207859" w:rsidRPr="003F4A2F">
              <w:rPr>
                <w:b/>
                <w:bCs/>
              </w:rPr>
              <w:t>elevanta för ESF+</w:t>
            </w:r>
            <w:r w:rsidR="00207859">
              <w:rPr>
                <w:b/>
                <w:bCs/>
              </w:rPr>
              <w:t xml:space="preserve"> i Sverige</w:t>
            </w:r>
            <w:r w:rsidR="00207859">
              <w:rPr>
                <w:rStyle w:val="Fotnotsreferens"/>
                <w:b/>
                <w:bCs/>
              </w:rPr>
              <w:footnoteReference w:id="13"/>
            </w:r>
          </w:p>
        </w:tc>
      </w:tr>
      <w:tr w:rsidR="00207859" w:rsidRPr="00B82AB8" w14:paraId="589DDE9D" w14:textId="77777777" w:rsidTr="002261C1">
        <w:tc>
          <w:tcPr>
            <w:tcW w:w="2295" w:type="dxa"/>
          </w:tcPr>
          <w:p w14:paraId="067338A9" w14:textId="77777777" w:rsidR="00207859" w:rsidRPr="00B82AB8" w:rsidRDefault="00207859" w:rsidP="00B15916">
            <w:pPr>
              <w:pStyle w:val="Brdtext"/>
              <w:rPr>
                <w:sz w:val="16"/>
                <w:szCs w:val="16"/>
              </w:rPr>
            </w:pPr>
          </w:p>
        </w:tc>
        <w:tc>
          <w:tcPr>
            <w:tcW w:w="1074" w:type="dxa"/>
            <w:gridSpan w:val="2"/>
          </w:tcPr>
          <w:p w14:paraId="0D516487" w14:textId="324C735F" w:rsidR="00207859" w:rsidRDefault="00207859" w:rsidP="00B15916">
            <w:pPr>
              <w:pStyle w:val="Brdtext"/>
              <w:rPr>
                <w:b/>
                <w:bCs/>
                <w:sz w:val="16"/>
                <w:szCs w:val="16"/>
              </w:rPr>
            </w:pPr>
            <w:r w:rsidRPr="00B82AB8">
              <w:rPr>
                <w:b/>
                <w:bCs/>
                <w:sz w:val="16"/>
                <w:szCs w:val="16"/>
              </w:rPr>
              <w:t>SE</w:t>
            </w:r>
            <w:r>
              <w:rPr>
                <w:b/>
                <w:bCs/>
                <w:sz w:val="16"/>
                <w:szCs w:val="16"/>
              </w:rPr>
              <w:t xml:space="preserve"> </w:t>
            </w:r>
            <w:r w:rsidR="000A4164">
              <w:rPr>
                <w:b/>
                <w:bCs/>
                <w:sz w:val="16"/>
                <w:szCs w:val="16"/>
              </w:rPr>
              <w:t>(</w:t>
            </w:r>
            <w:proofErr w:type="spellStart"/>
            <w:r>
              <w:rPr>
                <w:b/>
                <w:bCs/>
                <w:sz w:val="16"/>
                <w:szCs w:val="16"/>
              </w:rPr>
              <w:t>jfr</w:t>
            </w:r>
            <w:r w:rsidR="00E927F4">
              <w:rPr>
                <w:b/>
                <w:bCs/>
                <w:sz w:val="16"/>
                <w:szCs w:val="16"/>
              </w:rPr>
              <w:t>t</w:t>
            </w:r>
            <w:proofErr w:type="spellEnd"/>
            <w:r w:rsidR="00E927F4">
              <w:rPr>
                <w:b/>
                <w:bCs/>
                <w:sz w:val="16"/>
                <w:szCs w:val="16"/>
              </w:rPr>
              <w:t xml:space="preserve"> med </w:t>
            </w:r>
          </w:p>
          <w:p w14:paraId="068A3AEE" w14:textId="7DEE5884" w:rsidR="00207859" w:rsidRPr="00B82AB8" w:rsidRDefault="00207859" w:rsidP="00B15916">
            <w:pPr>
              <w:pStyle w:val="Brdtext"/>
              <w:rPr>
                <w:b/>
                <w:bCs/>
                <w:sz w:val="16"/>
                <w:szCs w:val="16"/>
              </w:rPr>
            </w:pPr>
            <w:r>
              <w:rPr>
                <w:b/>
                <w:bCs/>
                <w:sz w:val="16"/>
                <w:szCs w:val="16"/>
              </w:rPr>
              <w:t>EU</w:t>
            </w:r>
            <w:r w:rsidR="00E927F4">
              <w:rPr>
                <w:b/>
                <w:bCs/>
                <w:sz w:val="16"/>
                <w:szCs w:val="16"/>
              </w:rPr>
              <w:t>-</w:t>
            </w:r>
            <w:r w:rsidRPr="00B82AB8">
              <w:rPr>
                <w:b/>
                <w:bCs/>
                <w:sz w:val="16"/>
                <w:szCs w:val="16"/>
              </w:rPr>
              <w:t>värde</w:t>
            </w:r>
            <w:r w:rsidR="000A4164">
              <w:rPr>
                <w:b/>
                <w:bCs/>
                <w:sz w:val="16"/>
                <w:szCs w:val="16"/>
              </w:rPr>
              <w:t>)</w:t>
            </w:r>
          </w:p>
        </w:tc>
        <w:tc>
          <w:tcPr>
            <w:tcW w:w="708" w:type="dxa"/>
          </w:tcPr>
          <w:p w14:paraId="00038119" w14:textId="3AF107F9" w:rsidR="00207859" w:rsidRPr="002E0C84" w:rsidRDefault="00207859" w:rsidP="00B15916">
            <w:pPr>
              <w:pStyle w:val="Brdtext"/>
              <w:rPr>
                <w:b/>
                <w:bCs/>
                <w:i/>
                <w:iCs/>
                <w:sz w:val="16"/>
                <w:szCs w:val="16"/>
              </w:rPr>
            </w:pPr>
            <w:r w:rsidRPr="002E0C84">
              <w:rPr>
                <w:b/>
                <w:bCs/>
                <w:i/>
                <w:iCs/>
                <w:sz w:val="16"/>
                <w:szCs w:val="16"/>
              </w:rPr>
              <w:t>B</w:t>
            </w:r>
            <w:r w:rsidR="0083761B" w:rsidRPr="002E0C84">
              <w:rPr>
                <w:b/>
                <w:bCs/>
                <w:i/>
                <w:iCs/>
                <w:sz w:val="16"/>
                <w:szCs w:val="16"/>
              </w:rPr>
              <w:t xml:space="preserve">äst </w:t>
            </w:r>
            <w:proofErr w:type="spellStart"/>
            <w:r w:rsidR="0083761B" w:rsidRPr="002E0C84">
              <w:rPr>
                <w:b/>
                <w:bCs/>
                <w:i/>
                <w:iCs/>
                <w:sz w:val="16"/>
                <w:szCs w:val="16"/>
              </w:rPr>
              <w:t>preste</w:t>
            </w:r>
            <w:r w:rsidR="002E0C84">
              <w:rPr>
                <w:b/>
                <w:bCs/>
                <w:i/>
                <w:iCs/>
                <w:sz w:val="16"/>
                <w:szCs w:val="16"/>
              </w:rPr>
              <w:t>-</w:t>
            </w:r>
            <w:r w:rsidR="00966C40">
              <w:rPr>
                <w:b/>
                <w:bCs/>
                <w:i/>
                <w:iCs/>
                <w:sz w:val="16"/>
                <w:szCs w:val="16"/>
              </w:rPr>
              <w:t>r</w:t>
            </w:r>
            <w:r w:rsidR="0083761B" w:rsidRPr="002E0C84">
              <w:rPr>
                <w:b/>
                <w:bCs/>
                <w:i/>
                <w:iCs/>
                <w:sz w:val="16"/>
                <w:szCs w:val="16"/>
              </w:rPr>
              <w:t>ande</w:t>
            </w:r>
            <w:proofErr w:type="spellEnd"/>
          </w:p>
        </w:tc>
        <w:tc>
          <w:tcPr>
            <w:tcW w:w="709" w:type="dxa"/>
          </w:tcPr>
          <w:p w14:paraId="217C5E3F" w14:textId="76DBDAD0" w:rsidR="00207859" w:rsidRPr="002E0C84" w:rsidRDefault="00207859" w:rsidP="00B15916">
            <w:pPr>
              <w:pStyle w:val="Brdtext"/>
              <w:rPr>
                <w:b/>
                <w:bCs/>
                <w:i/>
                <w:iCs/>
                <w:sz w:val="16"/>
                <w:szCs w:val="16"/>
              </w:rPr>
            </w:pPr>
            <w:r w:rsidRPr="002E0C84">
              <w:rPr>
                <w:b/>
                <w:bCs/>
                <w:i/>
                <w:iCs/>
                <w:sz w:val="16"/>
                <w:szCs w:val="16"/>
              </w:rPr>
              <w:t>B</w:t>
            </w:r>
            <w:r w:rsidR="00E45F48" w:rsidRPr="002E0C84">
              <w:rPr>
                <w:b/>
                <w:bCs/>
                <w:i/>
                <w:iCs/>
                <w:sz w:val="16"/>
                <w:szCs w:val="16"/>
              </w:rPr>
              <w:t>ät</w:t>
            </w:r>
            <w:r w:rsidR="002E0C84">
              <w:rPr>
                <w:b/>
                <w:bCs/>
                <w:i/>
                <w:iCs/>
                <w:sz w:val="16"/>
                <w:szCs w:val="16"/>
              </w:rPr>
              <w:t>tr</w:t>
            </w:r>
            <w:r w:rsidR="00E45F48" w:rsidRPr="002E0C84">
              <w:rPr>
                <w:b/>
                <w:bCs/>
                <w:i/>
                <w:iCs/>
                <w:sz w:val="16"/>
                <w:szCs w:val="16"/>
              </w:rPr>
              <w:t>e</w:t>
            </w:r>
            <w:r w:rsidR="002E0C84">
              <w:rPr>
                <w:b/>
                <w:bCs/>
                <w:i/>
                <w:iCs/>
                <w:sz w:val="16"/>
                <w:szCs w:val="16"/>
              </w:rPr>
              <w:t xml:space="preserve"> </w:t>
            </w:r>
            <w:r w:rsidR="00E45F48" w:rsidRPr="002E0C84">
              <w:rPr>
                <w:b/>
                <w:bCs/>
                <w:i/>
                <w:iCs/>
                <w:sz w:val="16"/>
                <w:szCs w:val="16"/>
              </w:rPr>
              <w:t xml:space="preserve">än </w:t>
            </w:r>
            <w:r w:rsidR="002E0C84">
              <w:rPr>
                <w:b/>
                <w:bCs/>
                <w:i/>
                <w:iCs/>
                <w:sz w:val="16"/>
                <w:szCs w:val="16"/>
              </w:rPr>
              <w:t>ge-nom-s</w:t>
            </w:r>
            <w:r w:rsidR="00E45F48" w:rsidRPr="002E0C84">
              <w:rPr>
                <w:b/>
                <w:bCs/>
                <w:i/>
                <w:iCs/>
                <w:sz w:val="16"/>
                <w:szCs w:val="16"/>
              </w:rPr>
              <w:t>nitte</w:t>
            </w:r>
            <w:r w:rsidR="002E0C84">
              <w:rPr>
                <w:b/>
                <w:bCs/>
                <w:i/>
                <w:iCs/>
                <w:sz w:val="16"/>
                <w:szCs w:val="16"/>
              </w:rPr>
              <w:t>t</w:t>
            </w:r>
          </w:p>
        </w:tc>
        <w:tc>
          <w:tcPr>
            <w:tcW w:w="672" w:type="dxa"/>
          </w:tcPr>
          <w:p w14:paraId="3B385946" w14:textId="2D904FD7" w:rsidR="00207859" w:rsidRPr="002E0C84" w:rsidRDefault="00E45F48" w:rsidP="00B15916">
            <w:pPr>
              <w:pStyle w:val="Brdtext"/>
              <w:rPr>
                <w:b/>
                <w:bCs/>
                <w:i/>
                <w:iCs/>
                <w:sz w:val="16"/>
                <w:szCs w:val="16"/>
              </w:rPr>
            </w:pPr>
            <w:r w:rsidRPr="002E0C84">
              <w:rPr>
                <w:b/>
                <w:bCs/>
                <w:i/>
                <w:iCs/>
                <w:sz w:val="16"/>
                <w:szCs w:val="16"/>
              </w:rPr>
              <w:t xml:space="preserve">Bra men bör </w:t>
            </w:r>
            <w:proofErr w:type="spellStart"/>
            <w:r w:rsidRPr="002E0C84">
              <w:rPr>
                <w:b/>
                <w:bCs/>
                <w:i/>
                <w:iCs/>
                <w:sz w:val="16"/>
                <w:szCs w:val="16"/>
              </w:rPr>
              <w:t>över</w:t>
            </w:r>
            <w:r w:rsidR="002E0C84">
              <w:rPr>
                <w:b/>
                <w:bCs/>
                <w:i/>
                <w:iCs/>
                <w:sz w:val="16"/>
                <w:szCs w:val="16"/>
              </w:rPr>
              <w:t>-v</w:t>
            </w:r>
            <w:r w:rsidRPr="002E0C84">
              <w:rPr>
                <w:b/>
                <w:bCs/>
                <w:i/>
                <w:iCs/>
                <w:sz w:val="16"/>
                <w:szCs w:val="16"/>
              </w:rPr>
              <w:t>akas</w:t>
            </w:r>
            <w:proofErr w:type="spellEnd"/>
          </w:p>
        </w:tc>
        <w:tc>
          <w:tcPr>
            <w:tcW w:w="746" w:type="dxa"/>
          </w:tcPr>
          <w:p w14:paraId="1809817E" w14:textId="25F3A3AD" w:rsidR="002E0C84" w:rsidRDefault="00E927F4" w:rsidP="00B15916">
            <w:pPr>
              <w:pStyle w:val="Brdtext"/>
              <w:rPr>
                <w:b/>
                <w:bCs/>
                <w:i/>
                <w:iCs/>
                <w:sz w:val="16"/>
                <w:szCs w:val="16"/>
              </w:rPr>
            </w:pPr>
            <w:r>
              <w:rPr>
                <w:b/>
                <w:bCs/>
                <w:i/>
                <w:iCs/>
                <w:sz w:val="16"/>
                <w:szCs w:val="16"/>
              </w:rPr>
              <w:t>På</w:t>
            </w:r>
          </w:p>
          <w:p w14:paraId="7BC5B78B" w14:textId="067D82D0" w:rsidR="00207859" w:rsidRPr="002E0C84" w:rsidRDefault="002E0C84" w:rsidP="00B15916">
            <w:pPr>
              <w:pStyle w:val="Brdtext"/>
              <w:rPr>
                <w:b/>
                <w:bCs/>
                <w:i/>
                <w:iCs/>
                <w:sz w:val="16"/>
                <w:szCs w:val="16"/>
              </w:rPr>
            </w:pPr>
            <w:r>
              <w:rPr>
                <w:b/>
                <w:bCs/>
                <w:i/>
                <w:iCs/>
                <w:sz w:val="16"/>
                <w:szCs w:val="16"/>
              </w:rPr>
              <w:t>genom-</w:t>
            </w:r>
            <w:r w:rsidR="00E45F48" w:rsidRPr="002E0C84">
              <w:rPr>
                <w:b/>
                <w:bCs/>
                <w:i/>
                <w:iCs/>
                <w:sz w:val="16"/>
                <w:szCs w:val="16"/>
              </w:rPr>
              <w:t>snitt</w:t>
            </w:r>
            <w:r w:rsidR="00A8172B">
              <w:rPr>
                <w:b/>
                <w:bCs/>
                <w:i/>
                <w:iCs/>
                <w:sz w:val="16"/>
                <w:szCs w:val="16"/>
              </w:rPr>
              <w:t>et</w:t>
            </w:r>
            <w:r w:rsidR="00E45F48" w:rsidRPr="002E0C84">
              <w:rPr>
                <w:b/>
                <w:bCs/>
                <w:i/>
                <w:iCs/>
                <w:sz w:val="16"/>
                <w:szCs w:val="16"/>
              </w:rPr>
              <w:t xml:space="preserve"> </w:t>
            </w:r>
          </w:p>
        </w:tc>
        <w:tc>
          <w:tcPr>
            <w:tcW w:w="994" w:type="dxa"/>
          </w:tcPr>
          <w:p w14:paraId="6B1F413C" w14:textId="72E1B081" w:rsidR="00207859" w:rsidRPr="002E0C84" w:rsidRDefault="00E45F48" w:rsidP="00B15916">
            <w:pPr>
              <w:pStyle w:val="Brdtext"/>
              <w:rPr>
                <w:b/>
                <w:bCs/>
                <w:i/>
                <w:iCs/>
                <w:sz w:val="16"/>
                <w:szCs w:val="16"/>
              </w:rPr>
            </w:pPr>
            <w:r w:rsidRPr="002E0C84">
              <w:rPr>
                <w:b/>
                <w:bCs/>
                <w:i/>
                <w:iCs/>
                <w:sz w:val="16"/>
                <w:szCs w:val="16"/>
              </w:rPr>
              <w:t>Svagt me</w:t>
            </w:r>
            <w:r w:rsidR="002E0C84">
              <w:rPr>
                <w:b/>
                <w:bCs/>
                <w:i/>
                <w:iCs/>
                <w:sz w:val="16"/>
                <w:szCs w:val="16"/>
              </w:rPr>
              <w:t>n</w:t>
            </w:r>
            <w:r w:rsidRPr="002E0C84">
              <w:rPr>
                <w:b/>
                <w:bCs/>
                <w:i/>
                <w:iCs/>
                <w:sz w:val="16"/>
                <w:szCs w:val="16"/>
              </w:rPr>
              <w:t xml:space="preserve"> förbättrats</w:t>
            </w:r>
          </w:p>
        </w:tc>
        <w:tc>
          <w:tcPr>
            <w:tcW w:w="565" w:type="dxa"/>
          </w:tcPr>
          <w:p w14:paraId="291690D0" w14:textId="573D382D" w:rsidR="00207859" w:rsidRPr="002E0C84" w:rsidRDefault="00E45F48" w:rsidP="00B15916">
            <w:pPr>
              <w:pStyle w:val="Brdtext"/>
              <w:rPr>
                <w:b/>
                <w:bCs/>
                <w:i/>
                <w:iCs/>
                <w:sz w:val="16"/>
                <w:szCs w:val="16"/>
              </w:rPr>
            </w:pPr>
            <w:r w:rsidRPr="002E0C84">
              <w:rPr>
                <w:b/>
                <w:bCs/>
                <w:i/>
                <w:iCs/>
                <w:sz w:val="16"/>
                <w:szCs w:val="16"/>
              </w:rPr>
              <w:t>Att be</w:t>
            </w:r>
            <w:r w:rsidR="002E0C84">
              <w:rPr>
                <w:b/>
                <w:bCs/>
                <w:i/>
                <w:iCs/>
                <w:sz w:val="16"/>
                <w:szCs w:val="16"/>
              </w:rPr>
              <w:t>-</w:t>
            </w:r>
            <w:r w:rsidRPr="002E0C84">
              <w:rPr>
                <w:b/>
                <w:bCs/>
                <w:i/>
                <w:iCs/>
                <w:sz w:val="16"/>
                <w:szCs w:val="16"/>
              </w:rPr>
              <w:t>vaka</w:t>
            </w:r>
          </w:p>
        </w:tc>
        <w:tc>
          <w:tcPr>
            <w:tcW w:w="850" w:type="dxa"/>
          </w:tcPr>
          <w:p w14:paraId="61BE3255" w14:textId="5A6BF4D9" w:rsidR="00207859" w:rsidRPr="002E0C84" w:rsidRDefault="00FD2C00" w:rsidP="00B15916">
            <w:pPr>
              <w:pStyle w:val="Brdtext"/>
              <w:rPr>
                <w:b/>
                <w:bCs/>
                <w:i/>
                <w:iCs/>
                <w:sz w:val="16"/>
                <w:szCs w:val="16"/>
              </w:rPr>
            </w:pPr>
            <w:r w:rsidRPr="002E0C84">
              <w:rPr>
                <w:b/>
                <w:bCs/>
                <w:i/>
                <w:iCs/>
                <w:sz w:val="16"/>
                <w:szCs w:val="16"/>
              </w:rPr>
              <w:t>Kritiskt</w:t>
            </w:r>
            <w:r w:rsidR="00207859" w:rsidRPr="002E0C84">
              <w:rPr>
                <w:b/>
                <w:bCs/>
                <w:i/>
                <w:iCs/>
                <w:sz w:val="16"/>
                <w:szCs w:val="16"/>
              </w:rPr>
              <w:t xml:space="preserve"> </w:t>
            </w:r>
          </w:p>
        </w:tc>
      </w:tr>
      <w:tr w:rsidR="00207859" w:rsidRPr="00B82AB8" w14:paraId="138B5656" w14:textId="77777777" w:rsidTr="002261C1">
        <w:tc>
          <w:tcPr>
            <w:tcW w:w="2312" w:type="dxa"/>
            <w:gridSpan w:val="2"/>
          </w:tcPr>
          <w:p w14:paraId="3B7210EA" w14:textId="03AA6679" w:rsidR="00207859" w:rsidRPr="00B82AB8" w:rsidRDefault="00207859" w:rsidP="00B15916">
            <w:pPr>
              <w:pStyle w:val="Brdtext"/>
              <w:rPr>
                <w:b/>
                <w:bCs/>
                <w:sz w:val="16"/>
                <w:szCs w:val="16"/>
              </w:rPr>
            </w:pPr>
            <w:r w:rsidRPr="00B82AB8">
              <w:rPr>
                <w:b/>
                <w:bCs/>
                <w:sz w:val="16"/>
                <w:szCs w:val="16"/>
              </w:rPr>
              <w:t>Sysselsättningsgrad</w:t>
            </w:r>
          </w:p>
          <w:p w14:paraId="21FFBFB8" w14:textId="6BD926D2" w:rsidR="00207859" w:rsidRPr="00B82AB8" w:rsidRDefault="00207859" w:rsidP="00B15916">
            <w:pPr>
              <w:pStyle w:val="Brdtext"/>
              <w:rPr>
                <w:b/>
                <w:bCs/>
                <w:sz w:val="16"/>
                <w:szCs w:val="16"/>
              </w:rPr>
            </w:pPr>
            <w:r w:rsidRPr="00B82AB8">
              <w:rPr>
                <w:b/>
                <w:bCs/>
                <w:sz w:val="16"/>
                <w:szCs w:val="16"/>
              </w:rPr>
              <w:t>(% av befolkningen, 20–64 år</w:t>
            </w:r>
            <w:r w:rsidR="000A4164">
              <w:rPr>
                <w:b/>
                <w:bCs/>
                <w:sz w:val="16"/>
                <w:szCs w:val="16"/>
              </w:rPr>
              <w:t>, 2023</w:t>
            </w:r>
            <w:r w:rsidRPr="00B82AB8">
              <w:rPr>
                <w:b/>
                <w:bCs/>
                <w:sz w:val="16"/>
                <w:szCs w:val="16"/>
              </w:rPr>
              <w:t>)</w:t>
            </w:r>
          </w:p>
        </w:tc>
        <w:tc>
          <w:tcPr>
            <w:tcW w:w="1057" w:type="dxa"/>
          </w:tcPr>
          <w:p w14:paraId="6B6AC018" w14:textId="0DF28A69" w:rsidR="00207859" w:rsidRDefault="00207859" w:rsidP="00B15916">
            <w:pPr>
              <w:pStyle w:val="Brdtext"/>
              <w:rPr>
                <w:sz w:val="16"/>
                <w:szCs w:val="16"/>
              </w:rPr>
            </w:pPr>
            <w:r>
              <w:rPr>
                <w:sz w:val="16"/>
                <w:szCs w:val="16"/>
              </w:rPr>
              <w:t>82,6</w:t>
            </w:r>
            <w:r w:rsidR="000A4164">
              <w:rPr>
                <w:sz w:val="16"/>
                <w:szCs w:val="16"/>
              </w:rPr>
              <w:t xml:space="preserve"> </w:t>
            </w:r>
            <w:r>
              <w:rPr>
                <w:sz w:val="16"/>
                <w:szCs w:val="16"/>
              </w:rPr>
              <w:t>%</w:t>
            </w:r>
          </w:p>
          <w:p w14:paraId="79585925" w14:textId="2CB495D1" w:rsidR="00207859" w:rsidRPr="002A4FCD" w:rsidRDefault="00207859" w:rsidP="00B15916">
            <w:pPr>
              <w:pStyle w:val="Brdtext"/>
              <w:rPr>
                <w:sz w:val="16"/>
                <w:szCs w:val="16"/>
              </w:rPr>
            </w:pPr>
            <w:r>
              <w:rPr>
                <w:sz w:val="16"/>
                <w:szCs w:val="16"/>
              </w:rPr>
              <w:t>(</w:t>
            </w:r>
            <w:r w:rsidR="000A4164">
              <w:rPr>
                <w:sz w:val="16"/>
                <w:szCs w:val="16"/>
              </w:rPr>
              <w:t xml:space="preserve">EU </w:t>
            </w:r>
            <w:r w:rsidRPr="002A4FCD">
              <w:rPr>
                <w:sz w:val="16"/>
                <w:szCs w:val="16"/>
              </w:rPr>
              <w:t>7</w:t>
            </w:r>
            <w:r>
              <w:rPr>
                <w:sz w:val="16"/>
                <w:szCs w:val="16"/>
              </w:rPr>
              <w:t>5,3</w:t>
            </w:r>
            <w:r w:rsidR="000A4164">
              <w:rPr>
                <w:sz w:val="16"/>
                <w:szCs w:val="16"/>
              </w:rPr>
              <w:t xml:space="preserve"> </w:t>
            </w:r>
            <w:r>
              <w:rPr>
                <w:sz w:val="16"/>
                <w:szCs w:val="16"/>
              </w:rPr>
              <w:t>%)</w:t>
            </w:r>
            <w:r w:rsidRPr="002A4FCD">
              <w:rPr>
                <w:sz w:val="16"/>
                <w:szCs w:val="16"/>
              </w:rPr>
              <w:br/>
            </w:r>
          </w:p>
        </w:tc>
        <w:tc>
          <w:tcPr>
            <w:tcW w:w="708" w:type="dxa"/>
          </w:tcPr>
          <w:p w14:paraId="4D60C72B" w14:textId="77777777" w:rsidR="00207859" w:rsidRPr="00B82AB8" w:rsidRDefault="00207859" w:rsidP="00B15916">
            <w:pPr>
              <w:pStyle w:val="Brdtext"/>
              <w:rPr>
                <w:sz w:val="16"/>
                <w:szCs w:val="16"/>
                <w:lang w:val="en-GB"/>
              </w:rPr>
            </w:pPr>
            <w:r w:rsidRPr="00B82AB8">
              <w:rPr>
                <w:sz w:val="16"/>
                <w:szCs w:val="16"/>
                <w:lang w:val="en-GB"/>
              </w:rPr>
              <w:t>X</w:t>
            </w:r>
          </w:p>
        </w:tc>
        <w:tc>
          <w:tcPr>
            <w:tcW w:w="709" w:type="dxa"/>
          </w:tcPr>
          <w:p w14:paraId="14C597A9" w14:textId="77777777" w:rsidR="00207859" w:rsidRPr="00B82AB8" w:rsidRDefault="00207859" w:rsidP="00B15916">
            <w:pPr>
              <w:pStyle w:val="Brdtext"/>
              <w:rPr>
                <w:sz w:val="16"/>
                <w:szCs w:val="16"/>
                <w:lang w:val="en-GB"/>
              </w:rPr>
            </w:pPr>
          </w:p>
        </w:tc>
        <w:tc>
          <w:tcPr>
            <w:tcW w:w="672" w:type="dxa"/>
          </w:tcPr>
          <w:p w14:paraId="7B57FC77" w14:textId="77777777" w:rsidR="00207859" w:rsidRPr="00B82AB8" w:rsidRDefault="00207859" w:rsidP="00B15916">
            <w:pPr>
              <w:pStyle w:val="Brdtext"/>
              <w:rPr>
                <w:sz w:val="16"/>
                <w:szCs w:val="16"/>
                <w:lang w:val="en-GB"/>
              </w:rPr>
            </w:pPr>
          </w:p>
        </w:tc>
        <w:tc>
          <w:tcPr>
            <w:tcW w:w="746" w:type="dxa"/>
          </w:tcPr>
          <w:p w14:paraId="797D6BC5" w14:textId="77777777" w:rsidR="00207859" w:rsidRPr="00B82AB8" w:rsidRDefault="00207859" w:rsidP="00B15916">
            <w:pPr>
              <w:pStyle w:val="Brdtext"/>
              <w:rPr>
                <w:sz w:val="16"/>
                <w:szCs w:val="16"/>
                <w:lang w:val="en-GB"/>
              </w:rPr>
            </w:pPr>
          </w:p>
        </w:tc>
        <w:tc>
          <w:tcPr>
            <w:tcW w:w="994" w:type="dxa"/>
          </w:tcPr>
          <w:p w14:paraId="5B9C5F39" w14:textId="77777777" w:rsidR="00207859" w:rsidRPr="00B82AB8" w:rsidRDefault="00207859" w:rsidP="00B15916">
            <w:pPr>
              <w:pStyle w:val="Brdtext"/>
              <w:rPr>
                <w:sz w:val="16"/>
                <w:szCs w:val="16"/>
                <w:lang w:val="en-GB"/>
              </w:rPr>
            </w:pPr>
          </w:p>
        </w:tc>
        <w:tc>
          <w:tcPr>
            <w:tcW w:w="565" w:type="dxa"/>
          </w:tcPr>
          <w:p w14:paraId="18FDF4E3" w14:textId="77777777" w:rsidR="00207859" w:rsidRPr="00B82AB8" w:rsidRDefault="00207859" w:rsidP="00B15916">
            <w:pPr>
              <w:pStyle w:val="Brdtext"/>
              <w:rPr>
                <w:sz w:val="16"/>
                <w:szCs w:val="16"/>
                <w:lang w:val="en-GB"/>
              </w:rPr>
            </w:pPr>
          </w:p>
        </w:tc>
        <w:tc>
          <w:tcPr>
            <w:tcW w:w="850" w:type="dxa"/>
          </w:tcPr>
          <w:p w14:paraId="61A86082" w14:textId="77777777" w:rsidR="00207859" w:rsidRPr="00B82AB8" w:rsidRDefault="00207859" w:rsidP="00B15916">
            <w:pPr>
              <w:pStyle w:val="Brdtext"/>
              <w:rPr>
                <w:sz w:val="16"/>
                <w:szCs w:val="16"/>
                <w:lang w:val="en-GB"/>
              </w:rPr>
            </w:pPr>
          </w:p>
        </w:tc>
      </w:tr>
      <w:tr w:rsidR="00A32B0C" w:rsidRPr="00B82AB8" w14:paraId="7DFF7B4F" w14:textId="77777777" w:rsidTr="002261C1">
        <w:tc>
          <w:tcPr>
            <w:tcW w:w="2312" w:type="dxa"/>
            <w:gridSpan w:val="2"/>
          </w:tcPr>
          <w:p w14:paraId="53C5BCA9" w14:textId="0D43C12F" w:rsidR="00A32B0C" w:rsidRDefault="00A32B0C" w:rsidP="00B15916">
            <w:pPr>
              <w:pStyle w:val="Brdtext"/>
              <w:rPr>
                <w:b/>
                <w:bCs/>
                <w:sz w:val="16"/>
                <w:szCs w:val="16"/>
              </w:rPr>
            </w:pPr>
            <w:r>
              <w:rPr>
                <w:b/>
                <w:bCs/>
                <w:sz w:val="16"/>
                <w:szCs w:val="16"/>
              </w:rPr>
              <w:t xml:space="preserve">Gapet i sysselsättning mellan kvinnor och män </w:t>
            </w:r>
            <w:r w:rsidRPr="00B82AB8">
              <w:rPr>
                <w:b/>
                <w:bCs/>
                <w:sz w:val="16"/>
                <w:szCs w:val="16"/>
              </w:rPr>
              <w:t>(</w:t>
            </w:r>
            <w:r>
              <w:rPr>
                <w:b/>
                <w:bCs/>
                <w:sz w:val="16"/>
                <w:szCs w:val="16"/>
              </w:rPr>
              <w:t xml:space="preserve">av befolkningen </w:t>
            </w:r>
            <w:proofErr w:type="gramStart"/>
            <w:r>
              <w:rPr>
                <w:b/>
                <w:bCs/>
                <w:sz w:val="16"/>
                <w:szCs w:val="16"/>
              </w:rPr>
              <w:t>20</w:t>
            </w:r>
            <w:r w:rsidR="006A3F27">
              <w:rPr>
                <w:b/>
                <w:bCs/>
                <w:sz w:val="16"/>
                <w:szCs w:val="16"/>
              </w:rPr>
              <w:t>-</w:t>
            </w:r>
            <w:r w:rsidR="00DD1084">
              <w:rPr>
                <w:b/>
                <w:bCs/>
                <w:sz w:val="16"/>
                <w:szCs w:val="16"/>
              </w:rPr>
              <w:softHyphen/>
            </w:r>
            <w:r>
              <w:rPr>
                <w:b/>
                <w:bCs/>
                <w:sz w:val="16"/>
                <w:szCs w:val="16"/>
              </w:rPr>
              <w:t>64</w:t>
            </w:r>
            <w:proofErr w:type="gramEnd"/>
            <w:r>
              <w:rPr>
                <w:b/>
                <w:bCs/>
                <w:sz w:val="16"/>
                <w:szCs w:val="16"/>
              </w:rPr>
              <w:t xml:space="preserve"> år, 2023)</w:t>
            </w:r>
          </w:p>
          <w:p w14:paraId="78AF4368" w14:textId="77777777" w:rsidR="00A32B0C" w:rsidRPr="006A2F89" w:rsidRDefault="00A32B0C" w:rsidP="00B15916">
            <w:pPr>
              <w:pStyle w:val="Brdtext"/>
              <w:rPr>
                <w:b/>
                <w:bCs/>
                <w:sz w:val="16"/>
                <w:szCs w:val="16"/>
              </w:rPr>
            </w:pPr>
          </w:p>
        </w:tc>
        <w:tc>
          <w:tcPr>
            <w:tcW w:w="1057" w:type="dxa"/>
          </w:tcPr>
          <w:p w14:paraId="79379381" w14:textId="66F38A15" w:rsidR="00A32B0C" w:rsidRDefault="00A32B0C" w:rsidP="00A32B0C">
            <w:pPr>
              <w:pStyle w:val="Brdtext"/>
              <w:rPr>
                <w:sz w:val="16"/>
                <w:szCs w:val="16"/>
              </w:rPr>
            </w:pPr>
            <w:r>
              <w:rPr>
                <w:sz w:val="16"/>
                <w:szCs w:val="16"/>
              </w:rPr>
              <w:t>4,7 %-enheter</w:t>
            </w:r>
          </w:p>
          <w:p w14:paraId="76B9D36E" w14:textId="2D48CBC8" w:rsidR="00A32B0C" w:rsidRPr="006A2F89" w:rsidRDefault="00A32B0C" w:rsidP="00A32B0C">
            <w:pPr>
              <w:pStyle w:val="Brdtext"/>
              <w:rPr>
                <w:sz w:val="16"/>
                <w:szCs w:val="16"/>
              </w:rPr>
            </w:pPr>
            <w:r>
              <w:rPr>
                <w:sz w:val="16"/>
                <w:szCs w:val="16"/>
              </w:rPr>
              <w:t xml:space="preserve">(EU </w:t>
            </w:r>
            <w:r w:rsidR="007C005A">
              <w:rPr>
                <w:sz w:val="16"/>
                <w:szCs w:val="16"/>
              </w:rPr>
              <w:t>10,2</w:t>
            </w:r>
            <w:r>
              <w:rPr>
                <w:sz w:val="16"/>
                <w:szCs w:val="16"/>
              </w:rPr>
              <w:t xml:space="preserve"> %- enheter</w:t>
            </w:r>
          </w:p>
        </w:tc>
        <w:tc>
          <w:tcPr>
            <w:tcW w:w="708" w:type="dxa"/>
          </w:tcPr>
          <w:p w14:paraId="51F11D78" w14:textId="77777777" w:rsidR="00A32B0C" w:rsidRPr="00A32B0C" w:rsidRDefault="00A32B0C" w:rsidP="00B15916">
            <w:pPr>
              <w:pStyle w:val="Brdtext"/>
              <w:rPr>
                <w:sz w:val="16"/>
                <w:szCs w:val="16"/>
              </w:rPr>
            </w:pPr>
          </w:p>
        </w:tc>
        <w:tc>
          <w:tcPr>
            <w:tcW w:w="709" w:type="dxa"/>
          </w:tcPr>
          <w:p w14:paraId="2A045DD6" w14:textId="20A2E2AD" w:rsidR="00A32B0C" w:rsidRPr="00A32B0C" w:rsidRDefault="00A32B0C" w:rsidP="00B15916">
            <w:pPr>
              <w:pStyle w:val="Brdtext"/>
              <w:rPr>
                <w:sz w:val="16"/>
                <w:szCs w:val="16"/>
              </w:rPr>
            </w:pPr>
            <w:r>
              <w:rPr>
                <w:sz w:val="16"/>
                <w:szCs w:val="16"/>
              </w:rPr>
              <w:t>X</w:t>
            </w:r>
          </w:p>
        </w:tc>
        <w:tc>
          <w:tcPr>
            <w:tcW w:w="672" w:type="dxa"/>
          </w:tcPr>
          <w:p w14:paraId="04909B09" w14:textId="77777777" w:rsidR="00A32B0C" w:rsidRPr="00A32B0C" w:rsidRDefault="00A32B0C" w:rsidP="00B15916">
            <w:pPr>
              <w:pStyle w:val="Brdtext"/>
              <w:rPr>
                <w:sz w:val="16"/>
                <w:szCs w:val="16"/>
              </w:rPr>
            </w:pPr>
          </w:p>
        </w:tc>
        <w:tc>
          <w:tcPr>
            <w:tcW w:w="746" w:type="dxa"/>
          </w:tcPr>
          <w:p w14:paraId="3A9855E7" w14:textId="77777777" w:rsidR="00A32B0C" w:rsidRPr="00A32B0C" w:rsidRDefault="00A32B0C" w:rsidP="00B15916">
            <w:pPr>
              <w:pStyle w:val="Brdtext"/>
              <w:rPr>
                <w:sz w:val="16"/>
                <w:szCs w:val="16"/>
              </w:rPr>
            </w:pPr>
          </w:p>
        </w:tc>
        <w:tc>
          <w:tcPr>
            <w:tcW w:w="994" w:type="dxa"/>
          </w:tcPr>
          <w:p w14:paraId="01244A26" w14:textId="77777777" w:rsidR="00A32B0C" w:rsidRPr="00A32B0C" w:rsidRDefault="00A32B0C" w:rsidP="00B15916">
            <w:pPr>
              <w:pStyle w:val="Brdtext"/>
              <w:rPr>
                <w:sz w:val="16"/>
                <w:szCs w:val="16"/>
              </w:rPr>
            </w:pPr>
          </w:p>
        </w:tc>
        <w:tc>
          <w:tcPr>
            <w:tcW w:w="565" w:type="dxa"/>
          </w:tcPr>
          <w:p w14:paraId="683D555D" w14:textId="77777777" w:rsidR="00A32B0C" w:rsidRPr="00A32B0C" w:rsidRDefault="00A32B0C" w:rsidP="00B15916">
            <w:pPr>
              <w:pStyle w:val="Brdtext"/>
              <w:rPr>
                <w:sz w:val="16"/>
                <w:szCs w:val="16"/>
              </w:rPr>
            </w:pPr>
          </w:p>
        </w:tc>
        <w:tc>
          <w:tcPr>
            <w:tcW w:w="850" w:type="dxa"/>
          </w:tcPr>
          <w:p w14:paraId="1400CE85" w14:textId="77777777" w:rsidR="00A32B0C" w:rsidRPr="00A32B0C" w:rsidRDefault="00A32B0C" w:rsidP="00B15916">
            <w:pPr>
              <w:pStyle w:val="Brdtext"/>
              <w:rPr>
                <w:sz w:val="16"/>
                <w:szCs w:val="16"/>
              </w:rPr>
            </w:pPr>
          </w:p>
        </w:tc>
      </w:tr>
      <w:tr w:rsidR="008F4729" w:rsidRPr="00B82AB8" w14:paraId="4EF2034C" w14:textId="77777777" w:rsidTr="007E7B31">
        <w:tc>
          <w:tcPr>
            <w:tcW w:w="2312" w:type="dxa"/>
            <w:gridSpan w:val="2"/>
          </w:tcPr>
          <w:p w14:paraId="4FA434F2" w14:textId="3616A1BB" w:rsidR="008F4729" w:rsidRDefault="008F4729" w:rsidP="00B15916">
            <w:pPr>
              <w:pStyle w:val="Brdtext"/>
              <w:rPr>
                <w:b/>
                <w:bCs/>
                <w:sz w:val="16"/>
                <w:szCs w:val="16"/>
              </w:rPr>
            </w:pPr>
            <w:r w:rsidRPr="00FD7185">
              <w:rPr>
                <w:b/>
                <w:bCs/>
                <w:sz w:val="16"/>
                <w:szCs w:val="16"/>
              </w:rPr>
              <w:t>Deltagande i lärande insatser de senaste 12 månaderna (% av befolkningen, 25–64 år, 2022)</w:t>
            </w:r>
          </w:p>
        </w:tc>
        <w:tc>
          <w:tcPr>
            <w:tcW w:w="1057" w:type="dxa"/>
          </w:tcPr>
          <w:p w14:paraId="1AD40328" w14:textId="77777777" w:rsidR="008F4729" w:rsidRPr="00FD7185" w:rsidRDefault="008F4729" w:rsidP="008F4729">
            <w:pPr>
              <w:pStyle w:val="Brdtext"/>
              <w:rPr>
                <w:sz w:val="16"/>
                <w:szCs w:val="16"/>
              </w:rPr>
            </w:pPr>
            <w:r w:rsidRPr="00FD7185">
              <w:rPr>
                <w:sz w:val="16"/>
                <w:szCs w:val="16"/>
              </w:rPr>
              <w:t>66</w:t>
            </w:r>
            <w:r>
              <w:rPr>
                <w:sz w:val="16"/>
                <w:szCs w:val="16"/>
              </w:rPr>
              <w:t>,5</w:t>
            </w:r>
            <w:r w:rsidRPr="00FD7185">
              <w:rPr>
                <w:sz w:val="16"/>
                <w:szCs w:val="16"/>
              </w:rPr>
              <w:t xml:space="preserve"> %</w:t>
            </w:r>
          </w:p>
          <w:p w14:paraId="698FFE9B" w14:textId="5289DCDD" w:rsidR="008F4729" w:rsidRDefault="008F4729" w:rsidP="008F4729">
            <w:pPr>
              <w:pStyle w:val="Brdtext"/>
              <w:rPr>
                <w:sz w:val="16"/>
                <w:szCs w:val="16"/>
              </w:rPr>
            </w:pPr>
            <w:r w:rsidRPr="00FD7185">
              <w:rPr>
                <w:sz w:val="16"/>
                <w:szCs w:val="16"/>
              </w:rPr>
              <w:t>(EU</w:t>
            </w:r>
            <w:r w:rsidRPr="002261C1">
              <w:rPr>
                <w:sz w:val="16"/>
                <w:szCs w:val="16"/>
              </w:rPr>
              <w:t xml:space="preserve"> ej uppg.)</w:t>
            </w:r>
          </w:p>
        </w:tc>
        <w:tc>
          <w:tcPr>
            <w:tcW w:w="708" w:type="dxa"/>
          </w:tcPr>
          <w:p w14:paraId="54276037" w14:textId="0462D707" w:rsidR="008F4729" w:rsidRPr="00A32B0C" w:rsidRDefault="008F4729" w:rsidP="00B15916">
            <w:pPr>
              <w:pStyle w:val="Brdtext"/>
              <w:rPr>
                <w:sz w:val="16"/>
                <w:szCs w:val="16"/>
              </w:rPr>
            </w:pPr>
            <w:r>
              <w:rPr>
                <w:sz w:val="16"/>
                <w:szCs w:val="16"/>
              </w:rPr>
              <w:t>X</w:t>
            </w:r>
          </w:p>
        </w:tc>
        <w:tc>
          <w:tcPr>
            <w:tcW w:w="709" w:type="dxa"/>
          </w:tcPr>
          <w:p w14:paraId="05A30B01" w14:textId="77777777" w:rsidR="008F4729" w:rsidRDefault="008F4729" w:rsidP="00B15916">
            <w:pPr>
              <w:pStyle w:val="Brdtext"/>
              <w:rPr>
                <w:sz w:val="16"/>
                <w:szCs w:val="16"/>
              </w:rPr>
            </w:pPr>
          </w:p>
        </w:tc>
        <w:tc>
          <w:tcPr>
            <w:tcW w:w="672" w:type="dxa"/>
          </w:tcPr>
          <w:p w14:paraId="5AE9E3DA" w14:textId="77777777" w:rsidR="008F4729" w:rsidRPr="00A32B0C" w:rsidRDefault="008F4729" w:rsidP="00B15916">
            <w:pPr>
              <w:pStyle w:val="Brdtext"/>
              <w:rPr>
                <w:sz w:val="16"/>
                <w:szCs w:val="16"/>
              </w:rPr>
            </w:pPr>
          </w:p>
        </w:tc>
        <w:tc>
          <w:tcPr>
            <w:tcW w:w="746" w:type="dxa"/>
          </w:tcPr>
          <w:p w14:paraId="59D70EC4" w14:textId="77777777" w:rsidR="008F4729" w:rsidRPr="00A32B0C" w:rsidRDefault="008F4729" w:rsidP="00B15916">
            <w:pPr>
              <w:pStyle w:val="Brdtext"/>
              <w:rPr>
                <w:sz w:val="16"/>
                <w:szCs w:val="16"/>
              </w:rPr>
            </w:pPr>
          </w:p>
        </w:tc>
        <w:tc>
          <w:tcPr>
            <w:tcW w:w="994" w:type="dxa"/>
          </w:tcPr>
          <w:p w14:paraId="2A5E569D" w14:textId="77777777" w:rsidR="008F4729" w:rsidRPr="00A32B0C" w:rsidRDefault="008F4729" w:rsidP="00B15916">
            <w:pPr>
              <w:pStyle w:val="Brdtext"/>
              <w:rPr>
                <w:sz w:val="16"/>
                <w:szCs w:val="16"/>
              </w:rPr>
            </w:pPr>
          </w:p>
        </w:tc>
        <w:tc>
          <w:tcPr>
            <w:tcW w:w="565" w:type="dxa"/>
          </w:tcPr>
          <w:p w14:paraId="002D7D9C" w14:textId="77777777" w:rsidR="008F4729" w:rsidRPr="00A32B0C" w:rsidRDefault="008F4729" w:rsidP="00B15916">
            <w:pPr>
              <w:pStyle w:val="Brdtext"/>
              <w:rPr>
                <w:sz w:val="16"/>
                <w:szCs w:val="16"/>
              </w:rPr>
            </w:pPr>
          </w:p>
        </w:tc>
        <w:tc>
          <w:tcPr>
            <w:tcW w:w="850" w:type="dxa"/>
          </w:tcPr>
          <w:p w14:paraId="6C388277" w14:textId="77777777" w:rsidR="008F4729" w:rsidRPr="00A32B0C" w:rsidRDefault="008F4729" w:rsidP="00B15916">
            <w:pPr>
              <w:pStyle w:val="Brdtext"/>
              <w:rPr>
                <w:sz w:val="16"/>
                <w:szCs w:val="16"/>
              </w:rPr>
            </w:pPr>
          </w:p>
        </w:tc>
      </w:tr>
      <w:tr w:rsidR="00207859" w:rsidRPr="00B82AB8" w14:paraId="4D600359" w14:textId="77777777" w:rsidTr="00B74AE0">
        <w:trPr>
          <w:trHeight w:val="632"/>
        </w:trPr>
        <w:tc>
          <w:tcPr>
            <w:tcW w:w="2312" w:type="dxa"/>
            <w:gridSpan w:val="2"/>
          </w:tcPr>
          <w:p w14:paraId="637BE56D" w14:textId="77777777" w:rsidR="00207859" w:rsidRPr="000D5898" w:rsidRDefault="00207859" w:rsidP="00B15916">
            <w:pPr>
              <w:pStyle w:val="Brdtext"/>
              <w:rPr>
                <w:b/>
                <w:bCs/>
                <w:sz w:val="16"/>
                <w:szCs w:val="16"/>
              </w:rPr>
            </w:pPr>
            <w:r w:rsidRPr="000D5898">
              <w:rPr>
                <w:b/>
                <w:bCs/>
                <w:sz w:val="16"/>
                <w:szCs w:val="16"/>
              </w:rPr>
              <w:t>Arbetslöshet</w:t>
            </w:r>
          </w:p>
          <w:p w14:paraId="231D6BAE" w14:textId="129DA80E" w:rsidR="00207859" w:rsidRPr="000D5898" w:rsidRDefault="00207859" w:rsidP="00B15916">
            <w:pPr>
              <w:pStyle w:val="Brdtext"/>
              <w:rPr>
                <w:b/>
                <w:bCs/>
                <w:sz w:val="16"/>
                <w:szCs w:val="16"/>
              </w:rPr>
            </w:pPr>
            <w:r w:rsidRPr="000D5898">
              <w:rPr>
                <w:b/>
                <w:bCs/>
                <w:sz w:val="16"/>
                <w:szCs w:val="16"/>
              </w:rPr>
              <w:t>(% av arbetskraften, 15–74 år</w:t>
            </w:r>
            <w:r w:rsidR="000A4164" w:rsidRPr="000D5898">
              <w:rPr>
                <w:b/>
                <w:bCs/>
                <w:sz w:val="16"/>
                <w:szCs w:val="16"/>
              </w:rPr>
              <w:t>, 2023</w:t>
            </w:r>
            <w:r w:rsidRPr="000D5898">
              <w:rPr>
                <w:b/>
                <w:bCs/>
                <w:sz w:val="16"/>
                <w:szCs w:val="16"/>
              </w:rPr>
              <w:t>)</w:t>
            </w:r>
          </w:p>
        </w:tc>
        <w:tc>
          <w:tcPr>
            <w:tcW w:w="1057" w:type="dxa"/>
          </w:tcPr>
          <w:p w14:paraId="3AB8A6F6" w14:textId="1BB871CD" w:rsidR="00207859" w:rsidRPr="000D5898" w:rsidRDefault="00207859" w:rsidP="00B15916">
            <w:pPr>
              <w:pStyle w:val="Brdtext"/>
              <w:rPr>
                <w:sz w:val="16"/>
                <w:szCs w:val="16"/>
              </w:rPr>
            </w:pPr>
            <w:r w:rsidRPr="000D5898">
              <w:rPr>
                <w:sz w:val="16"/>
                <w:szCs w:val="16"/>
              </w:rPr>
              <w:t>7</w:t>
            </w:r>
            <w:r w:rsidR="000A4164" w:rsidRPr="000D5898">
              <w:rPr>
                <w:sz w:val="16"/>
                <w:szCs w:val="16"/>
              </w:rPr>
              <w:t>,</w:t>
            </w:r>
            <w:r w:rsidRPr="000D5898">
              <w:rPr>
                <w:sz w:val="16"/>
                <w:szCs w:val="16"/>
              </w:rPr>
              <w:t>7</w:t>
            </w:r>
            <w:r w:rsidR="000A4164" w:rsidRPr="000D5898">
              <w:rPr>
                <w:sz w:val="16"/>
                <w:szCs w:val="16"/>
              </w:rPr>
              <w:t xml:space="preserve"> </w:t>
            </w:r>
            <w:r w:rsidRPr="000D5898">
              <w:rPr>
                <w:sz w:val="16"/>
                <w:szCs w:val="16"/>
              </w:rPr>
              <w:t>%</w:t>
            </w:r>
          </w:p>
          <w:p w14:paraId="58EA0069" w14:textId="13F6AD4E" w:rsidR="00207859" w:rsidRPr="000D5898" w:rsidRDefault="000A4164" w:rsidP="00B15916">
            <w:pPr>
              <w:pStyle w:val="Brdtext"/>
              <w:rPr>
                <w:sz w:val="16"/>
                <w:szCs w:val="16"/>
              </w:rPr>
            </w:pPr>
            <w:r w:rsidRPr="000D5898">
              <w:rPr>
                <w:sz w:val="16"/>
                <w:szCs w:val="16"/>
              </w:rPr>
              <w:t xml:space="preserve">(EU 6,1 </w:t>
            </w:r>
            <w:r w:rsidR="00207859" w:rsidRPr="000D5898">
              <w:rPr>
                <w:sz w:val="16"/>
                <w:szCs w:val="16"/>
              </w:rPr>
              <w:t>%)</w:t>
            </w:r>
          </w:p>
        </w:tc>
        <w:tc>
          <w:tcPr>
            <w:tcW w:w="708" w:type="dxa"/>
          </w:tcPr>
          <w:p w14:paraId="241E9C34" w14:textId="77777777" w:rsidR="00207859" w:rsidRPr="000D5898" w:rsidRDefault="00207859" w:rsidP="00B15916">
            <w:pPr>
              <w:pStyle w:val="Brdtext"/>
              <w:rPr>
                <w:sz w:val="16"/>
                <w:szCs w:val="16"/>
                <w:lang w:val="en-GB"/>
              </w:rPr>
            </w:pPr>
          </w:p>
        </w:tc>
        <w:tc>
          <w:tcPr>
            <w:tcW w:w="709" w:type="dxa"/>
          </w:tcPr>
          <w:p w14:paraId="455B4B7C" w14:textId="77777777" w:rsidR="00207859" w:rsidRPr="000D5898" w:rsidRDefault="00207859" w:rsidP="00B15916">
            <w:pPr>
              <w:pStyle w:val="Brdtext"/>
              <w:rPr>
                <w:sz w:val="16"/>
                <w:szCs w:val="16"/>
                <w:lang w:val="en-GB"/>
              </w:rPr>
            </w:pPr>
          </w:p>
        </w:tc>
        <w:tc>
          <w:tcPr>
            <w:tcW w:w="672" w:type="dxa"/>
          </w:tcPr>
          <w:p w14:paraId="5A6BB0A8" w14:textId="77777777" w:rsidR="00207859" w:rsidRPr="000D5898" w:rsidRDefault="00207859" w:rsidP="00B15916">
            <w:pPr>
              <w:pStyle w:val="Brdtext"/>
              <w:rPr>
                <w:sz w:val="16"/>
                <w:szCs w:val="16"/>
                <w:lang w:val="en-GB"/>
              </w:rPr>
            </w:pPr>
          </w:p>
        </w:tc>
        <w:tc>
          <w:tcPr>
            <w:tcW w:w="746" w:type="dxa"/>
          </w:tcPr>
          <w:p w14:paraId="70650A59" w14:textId="77777777" w:rsidR="00207859" w:rsidRPr="000D5898" w:rsidRDefault="00207859" w:rsidP="00B15916">
            <w:pPr>
              <w:pStyle w:val="Brdtext"/>
              <w:rPr>
                <w:sz w:val="16"/>
                <w:szCs w:val="16"/>
                <w:lang w:val="en-GB"/>
              </w:rPr>
            </w:pPr>
          </w:p>
        </w:tc>
        <w:tc>
          <w:tcPr>
            <w:tcW w:w="994" w:type="dxa"/>
          </w:tcPr>
          <w:p w14:paraId="6F4AF90E" w14:textId="77777777" w:rsidR="00207859" w:rsidRPr="000D5898" w:rsidRDefault="00207859" w:rsidP="00B15916">
            <w:pPr>
              <w:pStyle w:val="Brdtext"/>
              <w:rPr>
                <w:sz w:val="16"/>
                <w:szCs w:val="16"/>
                <w:lang w:val="en-GB"/>
              </w:rPr>
            </w:pPr>
          </w:p>
        </w:tc>
        <w:tc>
          <w:tcPr>
            <w:tcW w:w="565" w:type="dxa"/>
          </w:tcPr>
          <w:p w14:paraId="2A4190B0" w14:textId="77777777" w:rsidR="00207859" w:rsidRPr="000D5898" w:rsidRDefault="00207859" w:rsidP="00B15916">
            <w:pPr>
              <w:pStyle w:val="Brdtext"/>
              <w:rPr>
                <w:sz w:val="16"/>
                <w:szCs w:val="16"/>
                <w:lang w:val="en-GB"/>
              </w:rPr>
            </w:pPr>
            <w:r w:rsidRPr="000D5898">
              <w:rPr>
                <w:sz w:val="16"/>
                <w:szCs w:val="16"/>
                <w:lang w:val="en-GB"/>
              </w:rPr>
              <w:t>X</w:t>
            </w:r>
          </w:p>
        </w:tc>
        <w:tc>
          <w:tcPr>
            <w:tcW w:w="850" w:type="dxa"/>
          </w:tcPr>
          <w:p w14:paraId="30587A7E" w14:textId="77777777" w:rsidR="00207859" w:rsidRPr="000D5898" w:rsidRDefault="00207859" w:rsidP="00B15916">
            <w:pPr>
              <w:pStyle w:val="Brdtext"/>
              <w:rPr>
                <w:sz w:val="16"/>
                <w:szCs w:val="16"/>
                <w:lang w:val="en-GB"/>
              </w:rPr>
            </w:pPr>
          </w:p>
        </w:tc>
      </w:tr>
      <w:tr w:rsidR="00207859" w:rsidRPr="00B82AB8" w14:paraId="6B6D3ED8" w14:textId="77777777" w:rsidTr="002261C1">
        <w:tc>
          <w:tcPr>
            <w:tcW w:w="2312" w:type="dxa"/>
            <w:gridSpan w:val="2"/>
          </w:tcPr>
          <w:p w14:paraId="776D436C" w14:textId="77777777" w:rsidR="00207859" w:rsidRPr="006A2F89" w:rsidRDefault="00207859" w:rsidP="00B15916">
            <w:pPr>
              <w:pStyle w:val="Brdtext"/>
              <w:rPr>
                <w:b/>
                <w:bCs/>
                <w:sz w:val="16"/>
                <w:szCs w:val="16"/>
              </w:rPr>
            </w:pPr>
            <w:r w:rsidRPr="006A2F89">
              <w:rPr>
                <w:b/>
                <w:bCs/>
                <w:sz w:val="16"/>
                <w:szCs w:val="16"/>
              </w:rPr>
              <w:t>Långtidsarbetslöshet</w:t>
            </w:r>
          </w:p>
          <w:p w14:paraId="35C07B20" w14:textId="07EE594C" w:rsidR="00207859" w:rsidRPr="006A2F89" w:rsidRDefault="00207859" w:rsidP="00B15916">
            <w:pPr>
              <w:pStyle w:val="Brdtext"/>
              <w:rPr>
                <w:b/>
                <w:bCs/>
                <w:sz w:val="16"/>
                <w:szCs w:val="16"/>
              </w:rPr>
            </w:pPr>
            <w:r w:rsidRPr="006A2F89">
              <w:rPr>
                <w:b/>
                <w:bCs/>
                <w:sz w:val="16"/>
                <w:szCs w:val="16"/>
              </w:rPr>
              <w:t>(% av arbetskraften, 15–74 år</w:t>
            </w:r>
            <w:r w:rsidR="000A4164">
              <w:rPr>
                <w:b/>
                <w:bCs/>
                <w:sz w:val="16"/>
                <w:szCs w:val="16"/>
              </w:rPr>
              <w:t>, 2023</w:t>
            </w:r>
            <w:r w:rsidRPr="006A2F89">
              <w:rPr>
                <w:b/>
                <w:bCs/>
                <w:sz w:val="16"/>
                <w:szCs w:val="16"/>
              </w:rPr>
              <w:t>)</w:t>
            </w:r>
          </w:p>
        </w:tc>
        <w:tc>
          <w:tcPr>
            <w:tcW w:w="1057" w:type="dxa"/>
          </w:tcPr>
          <w:p w14:paraId="34403BE3" w14:textId="1D9B6742" w:rsidR="00207859" w:rsidRPr="006A2F89" w:rsidRDefault="00207859" w:rsidP="00B15916">
            <w:pPr>
              <w:pStyle w:val="Brdtext"/>
              <w:rPr>
                <w:sz w:val="16"/>
                <w:szCs w:val="16"/>
              </w:rPr>
            </w:pPr>
            <w:r w:rsidRPr="006A2F89">
              <w:rPr>
                <w:sz w:val="16"/>
                <w:szCs w:val="16"/>
              </w:rPr>
              <w:t>1,6</w:t>
            </w:r>
            <w:r w:rsidR="00B74AE0">
              <w:rPr>
                <w:sz w:val="16"/>
                <w:szCs w:val="16"/>
              </w:rPr>
              <w:t xml:space="preserve"> </w:t>
            </w:r>
            <w:r w:rsidRPr="006A2F89">
              <w:rPr>
                <w:sz w:val="16"/>
                <w:szCs w:val="16"/>
              </w:rPr>
              <w:t>%</w:t>
            </w:r>
          </w:p>
          <w:p w14:paraId="1F465553" w14:textId="7B09CE56" w:rsidR="00207859" w:rsidRPr="006A2F89" w:rsidRDefault="00207859" w:rsidP="00B15916">
            <w:pPr>
              <w:pStyle w:val="Brdtext"/>
              <w:rPr>
                <w:sz w:val="16"/>
                <w:szCs w:val="16"/>
              </w:rPr>
            </w:pPr>
            <w:r w:rsidRPr="006A2F89">
              <w:rPr>
                <w:sz w:val="16"/>
                <w:szCs w:val="16"/>
              </w:rPr>
              <w:t>(</w:t>
            </w:r>
            <w:r w:rsidR="000A4164">
              <w:rPr>
                <w:sz w:val="16"/>
                <w:szCs w:val="16"/>
              </w:rPr>
              <w:t xml:space="preserve">EU </w:t>
            </w:r>
            <w:r w:rsidRPr="006A2F89">
              <w:rPr>
                <w:sz w:val="16"/>
                <w:szCs w:val="16"/>
              </w:rPr>
              <w:t>2,</w:t>
            </w:r>
            <w:r>
              <w:rPr>
                <w:sz w:val="16"/>
                <w:szCs w:val="16"/>
              </w:rPr>
              <w:t>1</w:t>
            </w:r>
            <w:r w:rsidRPr="006A2F89">
              <w:rPr>
                <w:sz w:val="16"/>
                <w:szCs w:val="16"/>
              </w:rPr>
              <w:t>%</w:t>
            </w:r>
            <w:r>
              <w:rPr>
                <w:sz w:val="16"/>
                <w:szCs w:val="16"/>
              </w:rPr>
              <w:t>)</w:t>
            </w:r>
          </w:p>
        </w:tc>
        <w:tc>
          <w:tcPr>
            <w:tcW w:w="708" w:type="dxa"/>
          </w:tcPr>
          <w:p w14:paraId="68440D2B" w14:textId="77777777" w:rsidR="00207859" w:rsidRPr="00B82AB8" w:rsidRDefault="00207859" w:rsidP="00B15916">
            <w:pPr>
              <w:pStyle w:val="Brdtext"/>
              <w:rPr>
                <w:sz w:val="16"/>
                <w:szCs w:val="16"/>
                <w:lang w:val="en-GB"/>
              </w:rPr>
            </w:pPr>
          </w:p>
        </w:tc>
        <w:tc>
          <w:tcPr>
            <w:tcW w:w="709" w:type="dxa"/>
          </w:tcPr>
          <w:p w14:paraId="15BA176B" w14:textId="77777777" w:rsidR="00207859" w:rsidRPr="00B82AB8" w:rsidRDefault="00207859" w:rsidP="00B15916">
            <w:pPr>
              <w:pStyle w:val="Brdtext"/>
              <w:rPr>
                <w:sz w:val="16"/>
                <w:szCs w:val="16"/>
                <w:lang w:val="en-GB"/>
              </w:rPr>
            </w:pPr>
          </w:p>
        </w:tc>
        <w:tc>
          <w:tcPr>
            <w:tcW w:w="672" w:type="dxa"/>
          </w:tcPr>
          <w:p w14:paraId="1F2133D2" w14:textId="77777777" w:rsidR="00207859" w:rsidRPr="00B82AB8" w:rsidRDefault="00207859" w:rsidP="00B15916">
            <w:pPr>
              <w:pStyle w:val="Brdtext"/>
              <w:rPr>
                <w:sz w:val="16"/>
                <w:szCs w:val="16"/>
                <w:lang w:val="en-GB"/>
              </w:rPr>
            </w:pPr>
          </w:p>
        </w:tc>
        <w:tc>
          <w:tcPr>
            <w:tcW w:w="746" w:type="dxa"/>
          </w:tcPr>
          <w:p w14:paraId="57CDD1DC" w14:textId="77777777" w:rsidR="00207859" w:rsidRPr="00B82AB8" w:rsidRDefault="00207859" w:rsidP="00B15916">
            <w:pPr>
              <w:pStyle w:val="Brdtext"/>
              <w:rPr>
                <w:sz w:val="16"/>
                <w:szCs w:val="16"/>
                <w:lang w:val="en-GB"/>
              </w:rPr>
            </w:pPr>
            <w:r w:rsidRPr="00B82AB8">
              <w:rPr>
                <w:sz w:val="16"/>
                <w:szCs w:val="16"/>
                <w:lang w:val="en-GB"/>
              </w:rPr>
              <w:t>X</w:t>
            </w:r>
          </w:p>
        </w:tc>
        <w:tc>
          <w:tcPr>
            <w:tcW w:w="994" w:type="dxa"/>
          </w:tcPr>
          <w:p w14:paraId="0DF8C535" w14:textId="77777777" w:rsidR="00207859" w:rsidRPr="00B82AB8" w:rsidRDefault="00207859" w:rsidP="00B15916">
            <w:pPr>
              <w:pStyle w:val="Brdtext"/>
              <w:rPr>
                <w:sz w:val="16"/>
                <w:szCs w:val="16"/>
                <w:lang w:val="en-GB"/>
              </w:rPr>
            </w:pPr>
          </w:p>
        </w:tc>
        <w:tc>
          <w:tcPr>
            <w:tcW w:w="565" w:type="dxa"/>
          </w:tcPr>
          <w:p w14:paraId="1BB24564" w14:textId="77777777" w:rsidR="00207859" w:rsidRPr="00B82AB8" w:rsidRDefault="00207859" w:rsidP="00B15916">
            <w:pPr>
              <w:pStyle w:val="Brdtext"/>
              <w:rPr>
                <w:sz w:val="16"/>
                <w:szCs w:val="16"/>
                <w:lang w:val="en-GB"/>
              </w:rPr>
            </w:pPr>
          </w:p>
        </w:tc>
        <w:tc>
          <w:tcPr>
            <w:tcW w:w="850" w:type="dxa"/>
          </w:tcPr>
          <w:p w14:paraId="211CDD94" w14:textId="77777777" w:rsidR="00207859" w:rsidRPr="00B82AB8" w:rsidRDefault="00207859" w:rsidP="00B15916">
            <w:pPr>
              <w:pStyle w:val="Brdtext"/>
              <w:rPr>
                <w:sz w:val="16"/>
                <w:szCs w:val="16"/>
                <w:lang w:val="en-GB"/>
              </w:rPr>
            </w:pPr>
          </w:p>
        </w:tc>
      </w:tr>
      <w:tr w:rsidR="00207859" w:rsidRPr="00B82AB8" w14:paraId="761BB0FE" w14:textId="77777777" w:rsidTr="002261C1">
        <w:tc>
          <w:tcPr>
            <w:tcW w:w="2312" w:type="dxa"/>
            <w:gridSpan w:val="2"/>
          </w:tcPr>
          <w:p w14:paraId="5910DAA1" w14:textId="77777777" w:rsidR="00207859" w:rsidRPr="00B82AB8" w:rsidRDefault="00207859" w:rsidP="00B15916">
            <w:pPr>
              <w:pStyle w:val="Brdtext"/>
              <w:rPr>
                <w:b/>
                <w:bCs/>
                <w:sz w:val="16"/>
                <w:szCs w:val="16"/>
              </w:rPr>
            </w:pPr>
            <w:r>
              <w:rPr>
                <w:b/>
                <w:bCs/>
                <w:sz w:val="16"/>
                <w:szCs w:val="16"/>
              </w:rPr>
              <w:t>Tidiga s</w:t>
            </w:r>
            <w:r w:rsidRPr="00B82AB8">
              <w:rPr>
                <w:b/>
                <w:bCs/>
                <w:sz w:val="16"/>
                <w:szCs w:val="16"/>
              </w:rPr>
              <w:t>kolavhopp</w:t>
            </w:r>
          </w:p>
          <w:p w14:paraId="76A03D8F" w14:textId="0DDAB14B" w:rsidR="00207859" w:rsidRPr="00747C31" w:rsidRDefault="00207859" w:rsidP="00B15916">
            <w:pPr>
              <w:pStyle w:val="Brdtext"/>
              <w:rPr>
                <w:sz w:val="16"/>
                <w:szCs w:val="16"/>
              </w:rPr>
            </w:pPr>
            <w:r w:rsidRPr="00B82AB8">
              <w:rPr>
                <w:b/>
                <w:bCs/>
                <w:sz w:val="16"/>
                <w:szCs w:val="16"/>
              </w:rPr>
              <w:t>(%</w:t>
            </w:r>
            <w:r w:rsidR="00747C31">
              <w:rPr>
                <w:b/>
                <w:bCs/>
                <w:sz w:val="16"/>
                <w:szCs w:val="16"/>
              </w:rPr>
              <w:t xml:space="preserve"> av </w:t>
            </w:r>
            <w:r w:rsidRPr="00B82AB8">
              <w:rPr>
                <w:b/>
                <w:bCs/>
                <w:sz w:val="16"/>
                <w:szCs w:val="16"/>
              </w:rPr>
              <w:t>befolkningen 18–24 år</w:t>
            </w:r>
            <w:r w:rsidR="00792B82">
              <w:rPr>
                <w:b/>
                <w:bCs/>
                <w:sz w:val="16"/>
                <w:szCs w:val="16"/>
              </w:rPr>
              <w:t>, 2023</w:t>
            </w:r>
            <w:r w:rsidRPr="00B82AB8">
              <w:rPr>
                <w:b/>
                <w:bCs/>
                <w:sz w:val="16"/>
                <w:szCs w:val="16"/>
              </w:rPr>
              <w:t>)</w:t>
            </w:r>
          </w:p>
        </w:tc>
        <w:tc>
          <w:tcPr>
            <w:tcW w:w="1057" w:type="dxa"/>
          </w:tcPr>
          <w:p w14:paraId="7C668670" w14:textId="6595537B" w:rsidR="00207859" w:rsidRPr="001119DA" w:rsidRDefault="00207859" w:rsidP="00B15916">
            <w:pPr>
              <w:pStyle w:val="Brdtext"/>
              <w:rPr>
                <w:sz w:val="16"/>
                <w:szCs w:val="16"/>
              </w:rPr>
            </w:pPr>
            <w:r w:rsidRPr="001119DA">
              <w:rPr>
                <w:sz w:val="16"/>
                <w:szCs w:val="16"/>
              </w:rPr>
              <w:t>7,4</w:t>
            </w:r>
            <w:r w:rsidR="00B74AE0">
              <w:rPr>
                <w:sz w:val="16"/>
                <w:szCs w:val="16"/>
              </w:rPr>
              <w:t xml:space="preserve"> </w:t>
            </w:r>
            <w:r w:rsidRPr="001119DA">
              <w:rPr>
                <w:sz w:val="16"/>
                <w:szCs w:val="16"/>
              </w:rPr>
              <w:t>%</w:t>
            </w:r>
          </w:p>
          <w:p w14:paraId="044081AF" w14:textId="57B3BE35" w:rsidR="00207859" w:rsidRPr="001119DA" w:rsidRDefault="00207859" w:rsidP="00B15916">
            <w:pPr>
              <w:pStyle w:val="Brdtext"/>
              <w:rPr>
                <w:sz w:val="16"/>
                <w:szCs w:val="16"/>
              </w:rPr>
            </w:pPr>
            <w:r w:rsidRPr="001119DA">
              <w:rPr>
                <w:sz w:val="16"/>
                <w:szCs w:val="16"/>
                <w:shd w:val="clear" w:color="auto" w:fill="FFFFFF" w:themeFill="background1"/>
              </w:rPr>
              <w:t>(</w:t>
            </w:r>
            <w:r w:rsidR="000A4164" w:rsidRPr="001119DA">
              <w:rPr>
                <w:sz w:val="16"/>
                <w:szCs w:val="16"/>
                <w:shd w:val="clear" w:color="auto" w:fill="FFFFFF" w:themeFill="background1"/>
              </w:rPr>
              <w:t xml:space="preserve">EU </w:t>
            </w:r>
            <w:r w:rsidRPr="001119DA">
              <w:rPr>
                <w:sz w:val="16"/>
                <w:szCs w:val="16"/>
                <w:shd w:val="clear" w:color="auto" w:fill="FFFFFF" w:themeFill="background1"/>
              </w:rPr>
              <w:t>9,5</w:t>
            </w:r>
            <w:r w:rsidRPr="001119DA">
              <w:rPr>
                <w:sz w:val="16"/>
                <w:szCs w:val="16"/>
              </w:rPr>
              <w:t xml:space="preserve"> %)</w:t>
            </w:r>
          </w:p>
        </w:tc>
        <w:tc>
          <w:tcPr>
            <w:tcW w:w="708" w:type="dxa"/>
          </w:tcPr>
          <w:p w14:paraId="39BBC7F4" w14:textId="77777777" w:rsidR="00207859" w:rsidRPr="00B82AB8" w:rsidRDefault="00207859" w:rsidP="00B15916">
            <w:pPr>
              <w:pStyle w:val="Brdtext"/>
              <w:rPr>
                <w:sz w:val="16"/>
                <w:szCs w:val="16"/>
                <w:lang w:val="en-GB"/>
              </w:rPr>
            </w:pPr>
          </w:p>
        </w:tc>
        <w:tc>
          <w:tcPr>
            <w:tcW w:w="709" w:type="dxa"/>
          </w:tcPr>
          <w:p w14:paraId="73F2AA03" w14:textId="3867B5D0" w:rsidR="00207859" w:rsidRPr="00B82AB8" w:rsidRDefault="000A4164" w:rsidP="00B15916">
            <w:pPr>
              <w:pStyle w:val="Brdtext"/>
              <w:rPr>
                <w:sz w:val="16"/>
                <w:szCs w:val="16"/>
                <w:lang w:val="en-GB"/>
              </w:rPr>
            </w:pPr>
            <w:r>
              <w:rPr>
                <w:sz w:val="16"/>
                <w:szCs w:val="16"/>
                <w:lang w:val="en-GB"/>
              </w:rPr>
              <w:t>X</w:t>
            </w:r>
          </w:p>
        </w:tc>
        <w:tc>
          <w:tcPr>
            <w:tcW w:w="672" w:type="dxa"/>
          </w:tcPr>
          <w:p w14:paraId="3F713525" w14:textId="77777777" w:rsidR="00207859" w:rsidRPr="00B82AB8" w:rsidRDefault="00207859" w:rsidP="00B15916">
            <w:pPr>
              <w:pStyle w:val="Brdtext"/>
              <w:rPr>
                <w:sz w:val="16"/>
                <w:szCs w:val="16"/>
                <w:lang w:val="en-GB"/>
              </w:rPr>
            </w:pPr>
          </w:p>
        </w:tc>
        <w:tc>
          <w:tcPr>
            <w:tcW w:w="746" w:type="dxa"/>
          </w:tcPr>
          <w:p w14:paraId="75109040" w14:textId="6C475FC2" w:rsidR="00207859" w:rsidRPr="00B82AB8" w:rsidRDefault="00207859" w:rsidP="00B15916">
            <w:pPr>
              <w:pStyle w:val="Brdtext"/>
              <w:rPr>
                <w:sz w:val="16"/>
                <w:szCs w:val="16"/>
                <w:lang w:val="en-GB"/>
              </w:rPr>
            </w:pPr>
          </w:p>
        </w:tc>
        <w:tc>
          <w:tcPr>
            <w:tcW w:w="994" w:type="dxa"/>
          </w:tcPr>
          <w:p w14:paraId="177ACFDA" w14:textId="77777777" w:rsidR="00207859" w:rsidRPr="00B82AB8" w:rsidRDefault="00207859" w:rsidP="00B15916">
            <w:pPr>
              <w:pStyle w:val="Brdtext"/>
              <w:rPr>
                <w:sz w:val="16"/>
                <w:szCs w:val="16"/>
                <w:lang w:val="en-GB"/>
              </w:rPr>
            </w:pPr>
          </w:p>
        </w:tc>
        <w:tc>
          <w:tcPr>
            <w:tcW w:w="565" w:type="dxa"/>
          </w:tcPr>
          <w:p w14:paraId="5D84A78C" w14:textId="77777777" w:rsidR="00207859" w:rsidRPr="00B82AB8" w:rsidRDefault="00207859" w:rsidP="00B15916">
            <w:pPr>
              <w:pStyle w:val="Brdtext"/>
              <w:rPr>
                <w:sz w:val="16"/>
                <w:szCs w:val="16"/>
                <w:lang w:val="en-GB"/>
              </w:rPr>
            </w:pPr>
          </w:p>
        </w:tc>
        <w:tc>
          <w:tcPr>
            <w:tcW w:w="850" w:type="dxa"/>
          </w:tcPr>
          <w:p w14:paraId="451C9F65" w14:textId="77777777" w:rsidR="00207859" w:rsidRPr="00B82AB8" w:rsidRDefault="00207859" w:rsidP="00B15916">
            <w:pPr>
              <w:pStyle w:val="Brdtext"/>
              <w:rPr>
                <w:sz w:val="16"/>
                <w:szCs w:val="16"/>
                <w:lang w:val="en-GB"/>
              </w:rPr>
            </w:pPr>
          </w:p>
        </w:tc>
      </w:tr>
      <w:tr w:rsidR="00207859" w:rsidRPr="00B82AB8" w14:paraId="63F5CEA1" w14:textId="77777777" w:rsidTr="002261C1">
        <w:tc>
          <w:tcPr>
            <w:tcW w:w="2312" w:type="dxa"/>
            <w:gridSpan w:val="2"/>
          </w:tcPr>
          <w:p w14:paraId="1F61EF2B" w14:textId="2B70CD4F" w:rsidR="00207859" w:rsidRPr="00B82AB8" w:rsidRDefault="00207859" w:rsidP="00B15916">
            <w:pPr>
              <w:pStyle w:val="Brdtext"/>
              <w:rPr>
                <w:b/>
                <w:bCs/>
                <w:sz w:val="16"/>
                <w:szCs w:val="16"/>
              </w:rPr>
            </w:pPr>
            <w:r w:rsidRPr="00B82AB8">
              <w:rPr>
                <w:b/>
                <w:bCs/>
                <w:sz w:val="16"/>
                <w:szCs w:val="16"/>
              </w:rPr>
              <w:t xml:space="preserve">Unga som varken arbetar eller studerar </w:t>
            </w:r>
            <w:r w:rsidR="00792B82">
              <w:rPr>
                <w:b/>
                <w:bCs/>
                <w:sz w:val="16"/>
                <w:szCs w:val="16"/>
              </w:rPr>
              <w:t>(% av befolkningen</w:t>
            </w:r>
            <w:r w:rsidR="00747C31">
              <w:rPr>
                <w:b/>
                <w:bCs/>
                <w:sz w:val="16"/>
                <w:szCs w:val="16"/>
              </w:rPr>
              <w:t>)</w:t>
            </w:r>
            <w:r w:rsidR="00792B82">
              <w:rPr>
                <w:b/>
                <w:bCs/>
                <w:sz w:val="16"/>
                <w:szCs w:val="16"/>
              </w:rPr>
              <w:t xml:space="preserve"> 15</w:t>
            </w:r>
            <w:r w:rsidR="00875523">
              <w:rPr>
                <w:b/>
                <w:bCs/>
                <w:sz w:val="16"/>
                <w:szCs w:val="16"/>
              </w:rPr>
              <w:t>–</w:t>
            </w:r>
            <w:r w:rsidR="00792B82">
              <w:rPr>
                <w:b/>
                <w:bCs/>
                <w:sz w:val="16"/>
                <w:szCs w:val="16"/>
              </w:rPr>
              <w:t>29 år, 2023)</w:t>
            </w:r>
          </w:p>
        </w:tc>
        <w:tc>
          <w:tcPr>
            <w:tcW w:w="1057" w:type="dxa"/>
          </w:tcPr>
          <w:p w14:paraId="0B2117DF" w14:textId="229CC1B5" w:rsidR="00207859" w:rsidRPr="002A4FCD" w:rsidRDefault="00207859" w:rsidP="00B15916">
            <w:pPr>
              <w:pStyle w:val="Brdtext"/>
              <w:rPr>
                <w:sz w:val="16"/>
                <w:szCs w:val="16"/>
              </w:rPr>
            </w:pPr>
            <w:r>
              <w:rPr>
                <w:sz w:val="16"/>
                <w:szCs w:val="16"/>
              </w:rPr>
              <w:t>5,7</w:t>
            </w:r>
            <w:r w:rsidR="00B74AE0">
              <w:rPr>
                <w:sz w:val="16"/>
                <w:szCs w:val="16"/>
              </w:rPr>
              <w:t xml:space="preserve"> </w:t>
            </w:r>
            <w:r>
              <w:rPr>
                <w:sz w:val="16"/>
                <w:szCs w:val="16"/>
              </w:rPr>
              <w:t>%</w:t>
            </w:r>
            <w:r>
              <w:rPr>
                <w:sz w:val="16"/>
                <w:szCs w:val="16"/>
              </w:rPr>
              <w:br/>
            </w:r>
            <w:r w:rsidRPr="00713E9E">
              <w:rPr>
                <w:sz w:val="16"/>
                <w:szCs w:val="16"/>
              </w:rPr>
              <w:t>(</w:t>
            </w:r>
            <w:r w:rsidR="000A4164" w:rsidRPr="00713E9E">
              <w:rPr>
                <w:sz w:val="16"/>
                <w:szCs w:val="16"/>
              </w:rPr>
              <w:t xml:space="preserve">EU </w:t>
            </w:r>
            <w:r w:rsidRPr="00713E9E">
              <w:rPr>
                <w:sz w:val="16"/>
                <w:szCs w:val="16"/>
              </w:rPr>
              <w:t>11,2</w:t>
            </w:r>
            <w:r w:rsidR="002D4DA4" w:rsidRPr="00713E9E">
              <w:rPr>
                <w:sz w:val="16"/>
                <w:szCs w:val="16"/>
              </w:rPr>
              <w:t xml:space="preserve"> </w:t>
            </w:r>
            <w:r w:rsidRPr="00713E9E">
              <w:rPr>
                <w:sz w:val="16"/>
                <w:szCs w:val="16"/>
              </w:rPr>
              <w:t>%)</w:t>
            </w:r>
          </w:p>
        </w:tc>
        <w:tc>
          <w:tcPr>
            <w:tcW w:w="708" w:type="dxa"/>
          </w:tcPr>
          <w:p w14:paraId="0F9D71EC" w14:textId="77777777" w:rsidR="00207859" w:rsidRPr="00B82AB8" w:rsidRDefault="00207859" w:rsidP="00B15916">
            <w:pPr>
              <w:pStyle w:val="Brdtext"/>
              <w:rPr>
                <w:sz w:val="16"/>
                <w:szCs w:val="16"/>
              </w:rPr>
            </w:pPr>
            <w:r w:rsidRPr="00B82AB8">
              <w:rPr>
                <w:sz w:val="16"/>
                <w:szCs w:val="16"/>
              </w:rPr>
              <w:t>X</w:t>
            </w:r>
          </w:p>
        </w:tc>
        <w:tc>
          <w:tcPr>
            <w:tcW w:w="709" w:type="dxa"/>
          </w:tcPr>
          <w:p w14:paraId="26282F25" w14:textId="77777777" w:rsidR="00207859" w:rsidRPr="00B82AB8" w:rsidRDefault="00207859" w:rsidP="00B15916">
            <w:pPr>
              <w:pStyle w:val="Brdtext"/>
              <w:rPr>
                <w:sz w:val="16"/>
                <w:szCs w:val="16"/>
              </w:rPr>
            </w:pPr>
          </w:p>
        </w:tc>
        <w:tc>
          <w:tcPr>
            <w:tcW w:w="672" w:type="dxa"/>
          </w:tcPr>
          <w:p w14:paraId="6EA5720F" w14:textId="77777777" w:rsidR="00207859" w:rsidRPr="00B82AB8" w:rsidRDefault="00207859" w:rsidP="00B15916">
            <w:pPr>
              <w:pStyle w:val="Brdtext"/>
              <w:rPr>
                <w:sz w:val="16"/>
                <w:szCs w:val="16"/>
              </w:rPr>
            </w:pPr>
          </w:p>
        </w:tc>
        <w:tc>
          <w:tcPr>
            <w:tcW w:w="746" w:type="dxa"/>
          </w:tcPr>
          <w:p w14:paraId="5C159E90" w14:textId="77777777" w:rsidR="00207859" w:rsidRPr="00B82AB8" w:rsidRDefault="00207859" w:rsidP="00B15916">
            <w:pPr>
              <w:pStyle w:val="Brdtext"/>
              <w:rPr>
                <w:sz w:val="16"/>
                <w:szCs w:val="16"/>
              </w:rPr>
            </w:pPr>
          </w:p>
        </w:tc>
        <w:tc>
          <w:tcPr>
            <w:tcW w:w="994" w:type="dxa"/>
          </w:tcPr>
          <w:p w14:paraId="4470D08E" w14:textId="77777777" w:rsidR="00207859" w:rsidRPr="00B82AB8" w:rsidRDefault="00207859" w:rsidP="00B15916">
            <w:pPr>
              <w:pStyle w:val="Brdtext"/>
              <w:rPr>
                <w:sz w:val="16"/>
                <w:szCs w:val="16"/>
              </w:rPr>
            </w:pPr>
          </w:p>
        </w:tc>
        <w:tc>
          <w:tcPr>
            <w:tcW w:w="565" w:type="dxa"/>
          </w:tcPr>
          <w:p w14:paraId="36FDB40C" w14:textId="77777777" w:rsidR="00207859" w:rsidRPr="00B82AB8" w:rsidRDefault="00207859" w:rsidP="00B15916">
            <w:pPr>
              <w:pStyle w:val="Brdtext"/>
              <w:rPr>
                <w:sz w:val="16"/>
                <w:szCs w:val="16"/>
              </w:rPr>
            </w:pPr>
          </w:p>
        </w:tc>
        <w:tc>
          <w:tcPr>
            <w:tcW w:w="850" w:type="dxa"/>
          </w:tcPr>
          <w:p w14:paraId="3DF10FBE" w14:textId="77777777" w:rsidR="00207859" w:rsidRPr="00B82AB8" w:rsidRDefault="00207859" w:rsidP="00B15916">
            <w:pPr>
              <w:pStyle w:val="Brdtext"/>
              <w:rPr>
                <w:sz w:val="16"/>
                <w:szCs w:val="16"/>
              </w:rPr>
            </w:pPr>
          </w:p>
        </w:tc>
      </w:tr>
      <w:tr w:rsidR="00207859" w:rsidRPr="00B82AB8" w14:paraId="2A5545D7" w14:textId="77777777" w:rsidTr="002261C1">
        <w:tc>
          <w:tcPr>
            <w:tcW w:w="2312" w:type="dxa"/>
            <w:gridSpan w:val="2"/>
          </w:tcPr>
          <w:p w14:paraId="6804D1D3" w14:textId="77777777" w:rsidR="00207859" w:rsidRPr="00B82AB8" w:rsidRDefault="00207859" w:rsidP="00B15916">
            <w:pPr>
              <w:pStyle w:val="Brdtext"/>
              <w:rPr>
                <w:b/>
                <w:bCs/>
                <w:sz w:val="16"/>
                <w:szCs w:val="16"/>
              </w:rPr>
            </w:pPr>
            <w:r w:rsidRPr="00B82AB8">
              <w:rPr>
                <w:b/>
                <w:bCs/>
                <w:sz w:val="16"/>
                <w:szCs w:val="16"/>
              </w:rPr>
              <w:t>Gapet i sysselsättning personer med/utan funktions-</w:t>
            </w:r>
          </w:p>
          <w:p w14:paraId="1BF2759A" w14:textId="7FFA75EE" w:rsidR="00207859" w:rsidRPr="00B82AB8" w:rsidRDefault="00207859" w:rsidP="00B15916">
            <w:pPr>
              <w:pStyle w:val="Brdtext"/>
              <w:rPr>
                <w:sz w:val="16"/>
                <w:szCs w:val="16"/>
              </w:rPr>
            </w:pPr>
            <w:r>
              <w:rPr>
                <w:b/>
                <w:bCs/>
                <w:sz w:val="16"/>
                <w:szCs w:val="16"/>
              </w:rPr>
              <w:t>n</w:t>
            </w:r>
            <w:r w:rsidRPr="00B82AB8">
              <w:rPr>
                <w:b/>
                <w:bCs/>
                <w:sz w:val="16"/>
                <w:szCs w:val="16"/>
              </w:rPr>
              <w:t>edsätt</w:t>
            </w:r>
            <w:r>
              <w:rPr>
                <w:b/>
                <w:bCs/>
                <w:sz w:val="16"/>
                <w:szCs w:val="16"/>
              </w:rPr>
              <w:t>n</w:t>
            </w:r>
            <w:r w:rsidRPr="00B82AB8">
              <w:rPr>
                <w:b/>
                <w:bCs/>
                <w:sz w:val="16"/>
                <w:szCs w:val="16"/>
              </w:rPr>
              <w:t>ing (</w:t>
            </w:r>
            <w:r w:rsidR="0004402D">
              <w:rPr>
                <w:b/>
                <w:bCs/>
                <w:sz w:val="16"/>
                <w:szCs w:val="16"/>
              </w:rPr>
              <w:t xml:space="preserve">% </w:t>
            </w:r>
            <w:r w:rsidR="001837A1">
              <w:rPr>
                <w:b/>
                <w:bCs/>
                <w:sz w:val="16"/>
                <w:szCs w:val="16"/>
              </w:rPr>
              <w:t>av befolkningen 20</w:t>
            </w:r>
            <w:r w:rsidR="00875523">
              <w:rPr>
                <w:b/>
                <w:bCs/>
                <w:sz w:val="16"/>
                <w:szCs w:val="16"/>
              </w:rPr>
              <w:t>–</w:t>
            </w:r>
            <w:r w:rsidR="001837A1">
              <w:rPr>
                <w:b/>
                <w:bCs/>
                <w:sz w:val="16"/>
                <w:szCs w:val="16"/>
              </w:rPr>
              <w:t>64 år, 2022</w:t>
            </w:r>
            <w:r>
              <w:rPr>
                <w:b/>
                <w:bCs/>
                <w:sz w:val="16"/>
                <w:szCs w:val="16"/>
              </w:rPr>
              <w:t>)</w:t>
            </w:r>
            <w:r w:rsidR="00713E9E">
              <w:rPr>
                <w:b/>
                <w:bCs/>
                <w:sz w:val="16"/>
                <w:szCs w:val="16"/>
              </w:rPr>
              <w:t xml:space="preserve"> </w:t>
            </w:r>
          </w:p>
        </w:tc>
        <w:tc>
          <w:tcPr>
            <w:tcW w:w="1057" w:type="dxa"/>
          </w:tcPr>
          <w:p w14:paraId="3F9668A4" w14:textId="2B31B27A" w:rsidR="00207859" w:rsidRDefault="00207859" w:rsidP="00B15916">
            <w:pPr>
              <w:pStyle w:val="Brdtext"/>
              <w:rPr>
                <w:sz w:val="16"/>
                <w:szCs w:val="16"/>
              </w:rPr>
            </w:pPr>
            <w:r w:rsidRPr="002A4FCD">
              <w:rPr>
                <w:sz w:val="16"/>
                <w:szCs w:val="16"/>
              </w:rPr>
              <w:t>25,7</w:t>
            </w:r>
            <w:r w:rsidR="00713E9E">
              <w:rPr>
                <w:sz w:val="16"/>
                <w:szCs w:val="16"/>
              </w:rPr>
              <w:t xml:space="preserve"> </w:t>
            </w:r>
            <w:r w:rsidR="000C109B">
              <w:rPr>
                <w:sz w:val="16"/>
                <w:szCs w:val="16"/>
              </w:rPr>
              <w:t>%-</w:t>
            </w:r>
            <w:r w:rsidR="00713E9E">
              <w:rPr>
                <w:sz w:val="16"/>
                <w:szCs w:val="16"/>
              </w:rPr>
              <w:t>enheter</w:t>
            </w:r>
          </w:p>
          <w:p w14:paraId="0839314D" w14:textId="4C2FE87A" w:rsidR="00207859" w:rsidRPr="002A4FCD" w:rsidRDefault="00207859" w:rsidP="00B15916">
            <w:pPr>
              <w:pStyle w:val="Brdtext"/>
              <w:rPr>
                <w:sz w:val="16"/>
                <w:szCs w:val="16"/>
              </w:rPr>
            </w:pPr>
            <w:r>
              <w:rPr>
                <w:sz w:val="16"/>
                <w:szCs w:val="16"/>
              </w:rPr>
              <w:t>(</w:t>
            </w:r>
            <w:r w:rsidR="000A4164">
              <w:rPr>
                <w:sz w:val="16"/>
                <w:szCs w:val="16"/>
              </w:rPr>
              <w:t>EU</w:t>
            </w:r>
            <w:r w:rsidR="002D4DA4">
              <w:rPr>
                <w:sz w:val="16"/>
                <w:szCs w:val="16"/>
              </w:rPr>
              <w:t xml:space="preserve"> </w:t>
            </w:r>
            <w:r>
              <w:rPr>
                <w:sz w:val="16"/>
                <w:szCs w:val="16"/>
              </w:rPr>
              <w:t>21,</w:t>
            </w:r>
            <w:r w:rsidR="00713E9E">
              <w:rPr>
                <w:sz w:val="16"/>
                <w:szCs w:val="16"/>
              </w:rPr>
              <w:t>5</w:t>
            </w:r>
            <w:r w:rsidR="000C109B">
              <w:rPr>
                <w:sz w:val="16"/>
                <w:szCs w:val="16"/>
              </w:rPr>
              <w:t xml:space="preserve"> %-</w:t>
            </w:r>
            <w:r w:rsidR="002D4DA4">
              <w:rPr>
                <w:sz w:val="16"/>
                <w:szCs w:val="16"/>
              </w:rPr>
              <w:t xml:space="preserve"> </w:t>
            </w:r>
            <w:r w:rsidR="00713E9E">
              <w:rPr>
                <w:sz w:val="16"/>
                <w:szCs w:val="16"/>
              </w:rPr>
              <w:t>enheter</w:t>
            </w:r>
            <w:r w:rsidRPr="002A4FCD">
              <w:rPr>
                <w:sz w:val="16"/>
                <w:szCs w:val="16"/>
              </w:rPr>
              <w:t xml:space="preserve"> </w:t>
            </w:r>
          </w:p>
        </w:tc>
        <w:tc>
          <w:tcPr>
            <w:tcW w:w="708" w:type="dxa"/>
          </w:tcPr>
          <w:p w14:paraId="152502A9" w14:textId="77777777" w:rsidR="00207859" w:rsidRPr="00B82AB8" w:rsidRDefault="00207859" w:rsidP="00B15916">
            <w:pPr>
              <w:pStyle w:val="Brdtext"/>
              <w:rPr>
                <w:sz w:val="16"/>
                <w:szCs w:val="16"/>
              </w:rPr>
            </w:pPr>
          </w:p>
        </w:tc>
        <w:tc>
          <w:tcPr>
            <w:tcW w:w="709" w:type="dxa"/>
          </w:tcPr>
          <w:p w14:paraId="47E3BCE6" w14:textId="77777777" w:rsidR="00207859" w:rsidRPr="00B82AB8" w:rsidRDefault="00207859" w:rsidP="00B15916">
            <w:pPr>
              <w:pStyle w:val="Brdtext"/>
              <w:rPr>
                <w:sz w:val="16"/>
                <w:szCs w:val="16"/>
              </w:rPr>
            </w:pPr>
          </w:p>
        </w:tc>
        <w:tc>
          <w:tcPr>
            <w:tcW w:w="672" w:type="dxa"/>
          </w:tcPr>
          <w:p w14:paraId="06D2A38B" w14:textId="77777777" w:rsidR="00207859" w:rsidRPr="00B82AB8" w:rsidRDefault="00207859" w:rsidP="00B15916">
            <w:pPr>
              <w:pStyle w:val="Brdtext"/>
              <w:rPr>
                <w:sz w:val="16"/>
                <w:szCs w:val="16"/>
              </w:rPr>
            </w:pPr>
          </w:p>
        </w:tc>
        <w:tc>
          <w:tcPr>
            <w:tcW w:w="746" w:type="dxa"/>
          </w:tcPr>
          <w:p w14:paraId="59D8B2C2" w14:textId="77777777" w:rsidR="00207859" w:rsidRPr="00B82AB8" w:rsidRDefault="00207859" w:rsidP="00B15916">
            <w:pPr>
              <w:pStyle w:val="Brdtext"/>
              <w:rPr>
                <w:sz w:val="16"/>
                <w:szCs w:val="16"/>
              </w:rPr>
            </w:pPr>
          </w:p>
        </w:tc>
        <w:tc>
          <w:tcPr>
            <w:tcW w:w="994" w:type="dxa"/>
          </w:tcPr>
          <w:p w14:paraId="694E9D35" w14:textId="77777777" w:rsidR="00207859" w:rsidRPr="00B82AB8" w:rsidRDefault="00207859" w:rsidP="00B15916">
            <w:pPr>
              <w:pStyle w:val="Brdtext"/>
              <w:rPr>
                <w:sz w:val="16"/>
                <w:szCs w:val="16"/>
              </w:rPr>
            </w:pPr>
          </w:p>
        </w:tc>
        <w:tc>
          <w:tcPr>
            <w:tcW w:w="565" w:type="dxa"/>
          </w:tcPr>
          <w:p w14:paraId="07F1E734" w14:textId="77777777" w:rsidR="00207859" w:rsidRPr="00B82AB8" w:rsidRDefault="00207859" w:rsidP="00B15916">
            <w:pPr>
              <w:pStyle w:val="Brdtext"/>
              <w:rPr>
                <w:sz w:val="16"/>
                <w:szCs w:val="16"/>
              </w:rPr>
            </w:pPr>
            <w:r w:rsidRPr="00B82AB8">
              <w:rPr>
                <w:sz w:val="16"/>
                <w:szCs w:val="16"/>
              </w:rPr>
              <w:t>X</w:t>
            </w:r>
          </w:p>
        </w:tc>
        <w:tc>
          <w:tcPr>
            <w:tcW w:w="850" w:type="dxa"/>
          </w:tcPr>
          <w:p w14:paraId="663F6D69" w14:textId="77777777" w:rsidR="00207859" w:rsidRPr="00B82AB8" w:rsidRDefault="00207859" w:rsidP="00B15916">
            <w:pPr>
              <w:pStyle w:val="Brdtext"/>
              <w:rPr>
                <w:sz w:val="16"/>
                <w:szCs w:val="16"/>
              </w:rPr>
            </w:pPr>
          </w:p>
        </w:tc>
      </w:tr>
      <w:tr w:rsidR="00207859" w:rsidRPr="00B82AB8" w14:paraId="52F9CF11" w14:textId="77777777" w:rsidTr="002261C1">
        <w:tc>
          <w:tcPr>
            <w:tcW w:w="2312" w:type="dxa"/>
            <w:gridSpan w:val="2"/>
          </w:tcPr>
          <w:p w14:paraId="246503C7" w14:textId="5A14A76B" w:rsidR="00207859" w:rsidRPr="00785EFF" w:rsidRDefault="00207859" w:rsidP="00B15916">
            <w:pPr>
              <w:pStyle w:val="Brdtext"/>
              <w:rPr>
                <w:b/>
                <w:bCs/>
                <w:sz w:val="16"/>
                <w:szCs w:val="16"/>
              </w:rPr>
            </w:pPr>
            <w:r w:rsidRPr="00B82AB8">
              <w:rPr>
                <w:b/>
                <w:bCs/>
                <w:sz w:val="16"/>
                <w:szCs w:val="16"/>
              </w:rPr>
              <w:t xml:space="preserve">Risk för fattigdom eller </w:t>
            </w:r>
            <w:proofErr w:type="gramStart"/>
            <w:r w:rsidRPr="00B82AB8">
              <w:rPr>
                <w:b/>
                <w:bCs/>
                <w:sz w:val="16"/>
                <w:szCs w:val="16"/>
              </w:rPr>
              <w:t xml:space="preserve">social  </w:t>
            </w:r>
            <w:r w:rsidR="008E02EC">
              <w:rPr>
                <w:b/>
                <w:bCs/>
                <w:sz w:val="16"/>
                <w:szCs w:val="16"/>
              </w:rPr>
              <w:t>utestängning</w:t>
            </w:r>
            <w:proofErr w:type="gramEnd"/>
            <w:r w:rsidRPr="00B82AB8">
              <w:rPr>
                <w:b/>
                <w:bCs/>
                <w:sz w:val="16"/>
                <w:szCs w:val="16"/>
              </w:rPr>
              <w:t xml:space="preserve"> </w:t>
            </w:r>
            <w:r w:rsidRPr="00785EFF">
              <w:rPr>
                <w:b/>
                <w:bCs/>
                <w:sz w:val="16"/>
                <w:szCs w:val="16"/>
              </w:rPr>
              <w:t>(% av befolkningen</w:t>
            </w:r>
            <w:r w:rsidR="002D4DA4">
              <w:rPr>
                <w:b/>
                <w:bCs/>
                <w:sz w:val="16"/>
                <w:szCs w:val="16"/>
              </w:rPr>
              <w:t>, 2022</w:t>
            </w:r>
            <w:r>
              <w:rPr>
                <w:b/>
                <w:bCs/>
                <w:sz w:val="16"/>
                <w:szCs w:val="16"/>
              </w:rPr>
              <w:t>)</w:t>
            </w:r>
          </w:p>
        </w:tc>
        <w:tc>
          <w:tcPr>
            <w:tcW w:w="1057" w:type="dxa"/>
          </w:tcPr>
          <w:p w14:paraId="524EA562" w14:textId="2FF47322" w:rsidR="00207859" w:rsidRPr="00622F5A" w:rsidRDefault="00207859" w:rsidP="00B15916">
            <w:pPr>
              <w:pStyle w:val="Brdtext"/>
              <w:rPr>
                <w:sz w:val="16"/>
                <w:szCs w:val="16"/>
                <w:lang w:val="en-GB"/>
              </w:rPr>
            </w:pPr>
            <w:r w:rsidRPr="00622F5A">
              <w:rPr>
                <w:sz w:val="16"/>
                <w:szCs w:val="16"/>
                <w:lang w:val="en-GB"/>
              </w:rPr>
              <w:t>1</w:t>
            </w:r>
            <w:r w:rsidR="002D4DA4" w:rsidRPr="00622F5A">
              <w:rPr>
                <w:sz w:val="16"/>
                <w:szCs w:val="16"/>
                <w:lang w:val="en-GB"/>
              </w:rPr>
              <w:t>8</w:t>
            </w:r>
            <w:r w:rsidRPr="00622F5A">
              <w:rPr>
                <w:sz w:val="16"/>
                <w:szCs w:val="16"/>
                <w:lang w:val="en-GB"/>
              </w:rPr>
              <w:t>,</w:t>
            </w:r>
            <w:r w:rsidR="002D4DA4" w:rsidRPr="00622F5A">
              <w:rPr>
                <w:sz w:val="16"/>
                <w:szCs w:val="16"/>
                <w:lang w:val="en-GB"/>
              </w:rPr>
              <w:t xml:space="preserve">6 </w:t>
            </w:r>
            <w:r w:rsidRPr="00622F5A">
              <w:rPr>
                <w:sz w:val="16"/>
                <w:szCs w:val="16"/>
                <w:lang w:val="en-GB"/>
              </w:rPr>
              <w:t xml:space="preserve">% </w:t>
            </w:r>
            <w:r w:rsidRPr="00622F5A">
              <w:rPr>
                <w:sz w:val="16"/>
                <w:szCs w:val="16"/>
                <w:lang w:val="en-GB"/>
              </w:rPr>
              <w:br/>
              <w:t>(</w:t>
            </w:r>
            <w:r w:rsidR="002D4DA4" w:rsidRPr="00622F5A">
              <w:rPr>
                <w:sz w:val="16"/>
                <w:szCs w:val="16"/>
                <w:lang w:val="en-GB"/>
              </w:rPr>
              <w:t xml:space="preserve">EU </w:t>
            </w:r>
            <w:r w:rsidRPr="00622F5A">
              <w:rPr>
                <w:sz w:val="16"/>
                <w:szCs w:val="16"/>
                <w:lang w:val="en-GB"/>
              </w:rPr>
              <w:t>21</w:t>
            </w:r>
            <w:r w:rsidR="00713E9E" w:rsidRPr="00622F5A">
              <w:rPr>
                <w:sz w:val="16"/>
                <w:szCs w:val="16"/>
                <w:lang w:val="en-GB"/>
              </w:rPr>
              <w:t xml:space="preserve">,3 </w:t>
            </w:r>
            <w:r w:rsidRPr="00622F5A">
              <w:rPr>
                <w:sz w:val="16"/>
                <w:szCs w:val="16"/>
                <w:lang w:val="en-GB"/>
              </w:rPr>
              <w:t>%)</w:t>
            </w:r>
          </w:p>
        </w:tc>
        <w:tc>
          <w:tcPr>
            <w:tcW w:w="708" w:type="dxa"/>
          </w:tcPr>
          <w:p w14:paraId="2E2B945E" w14:textId="77777777" w:rsidR="00207859" w:rsidRPr="00B82AB8" w:rsidRDefault="00207859" w:rsidP="00B15916">
            <w:pPr>
              <w:pStyle w:val="Brdtext"/>
              <w:rPr>
                <w:sz w:val="16"/>
                <w:szCs w:val="16"/>
                <w:lang w:val="en-GB"/>
              </w:rPr>
            </w:pPr>
          </w:p>
        </w:tc>
        <w:tc>
          <w:tcPr>
            <w:tcW w:w="709" w:type="dxa"/>
          </w:tcPr>
          <w:p w14:paraId="58E7A5FA" w14:textId="77777777" w:rsidR="00207859" w:rsidRPr="00B82AB8" w:rsidRDefault="00207859" w:rsidP="00B15916">
            <w:pPr>
              <w:pStyle w:val="Brdtext"/>
              <w:rPr>
                <w:sz w:val="16"/>
                <w:szCs w:val="16"/>
                <w:lang w:val="en-GB"/>
              </w:rPr>
            </w:pPr>
          </w:p>
        </w:tc>
        <w:tc>
          <w:tcPr>
            <w:tcW w:w="672" w:type="dxa"/>
          </w:tcPr>
          <w:p w14:paraId="49D73AC4" w14:textId="77777777" w:rsidR="00207859" w:rsidRPr="00B82AB8" w:rsidRDefault="00207859" w:rsidP="00B15916">
            <w:pPr>
              <w:pStyle w:val="Brdtext"/>
              <w:rPr>
                <w:sz w:val="16"/>
                <w:szCs w:val="16"/>
                <w:lang w:val="en-GB"/>
              </w:rPr>
            </w:pPr>
          </w:p>
        </w:tc>
        <w:tc>
          <w:tcPr>
            <w:tcW w:w="746" w:type="dxa"/>
          </w:tcPr>
          <w:p w14:paraId="60F64DF6" w14:textId="77777777" w:rsidR="00207859" w:rsidRPr="00B82AB8" w:rsidRDefault="00207859" w:rsidP="00B15916">
            <w:pPr>
              <w:pStyle w:val="Brdtext"/>
              <w:rPr>
                <w:sz w:val="16"/>
                <w:szCs w:val="16"/>
                <w:lang w:val="en-GB"/>
              </w:rPr>
            </w:pPr>
          </w:p>
        </w:tc>
        <w:tc>
          <w:tcPr>
            <w:tcW w:w="994" w:type="dxa"/>
          </w:tcPr>
          <w:p w14:paraId="6419D19F" w14:textId="77777777" w:rsidR="00207859" w:rsidRPr="00B82AB8" w:rsidRDefault="00207859" w:rsidP="00B15916">
            <w:pPr>
              <w:pStyle w:val="Brdtext"/>
              <w:rPr>
                <w:sz w:val="16"/>
                <w:szCs w:val="16"/>
                <w:lang w:val="en-GB"/>
              </w:rPr>
            </w:pPr>
          </w:p>
        </w:tc>
        <w:tc>
          <w:tcPr>
            <w:tcW w:w="565" w:type="dxa"/>
          </w:tcPr>
          <w:p w14:paraId="4D8BB93F" w14:textId="77777777" w:rsidR="00207859" w:rsidRPr="00B82AB8" w:rsidRDefault="00207859" w:rsidP="00B15916">
            <w:pPr>
              <w:pStyle w:val="Brdtext"/>
              <w:rPr>
                <w:sz w:val="16"/>
                <w:szCs w:val="16"/>
                <w:lang w:val="en-GB"/>
              </w:rPr>
            </w:pPr>
            <w:r w:rsidRPr="00B82AB8">
              <w:rPr>
                <w:sz w:val="16"/>
                <w:szCs w:val="16"/>
                <w:lang w:val="en-GB"/>
              </w:rPr>
              <w:t>X</w:t>
            </w:r>
          </w:p>
        </w:tc>
        <w:tc>
          <w:tcPr>
            <w:tcW w:w="850" w:type="dxa"/>
          </w:tcPr>
          <w:p w14:paraId="044E82BA" w14:textId="77777777" w:rsidR="00207859" w:rsidRPr="00B82AB8" w:rsidRDefault="00207859" w:rsidP="00B15916">
            <w:pPr>
              <w:pStyle w:val="Brdtext"/>
              <w:rPr>
                <w:sz w:val="16"/>
                <w:szCs w:val="16"/>
                <w:lang w:val="en-GB"/>
              </w:rPr>
            </w:pPr>
          </w:p>
        </w:tc>
      </w:tr>
      <w:tr w:rsidR="00207859" w:rsidRPr="00B82AB8" w14:paraId="10B2EDA8" w14:textId="77777777" w:rsidTr="002261C1">
        <w:tc>
          <w:tcPr>
            <w:tcW w:w="2312" w:type="dxa"/>
            <w:gridSpan w:val="2"/>
          </w:tcPr>
          <w:p w14:paraId="5489B38A" w14:textId="14F2CD07" w:rsidR="00207859" w:rsidRPr="006A460D" w:rsidRDefault="00207859" w:rsidP="00B15916">
            <w:pPr>
              <w:pStyle w:val="Brdtext"/>
              <w:rPr>
                <w:b/>
                <w:bCs/>
                <w:sz w:val="16"/>
                <w:szCs w:val="16"/>
              </w:rPr>
            </w:pPr>
            <w:r w:rsidRPr="00B82AB8">
              <w:rPr>
                <w:b/>
                <w:bCs/>
                <w:sz w:val="16"/>
                <w:szCs w:val="16"/>
              </w:rPr>
              <w:t xml:space="preserve">Risk för fattigdom eller social </w:t>
            </w:r>
            <w:r w:rsidR="003F593A">
              <w:rPr>
                <w:b/>
                <w:bCs/>
                <w:sz w:val="16"/>
                <w:szCs w:val="16"/>
              </w:rPr>
              <w:t xml:space="preserve">utestängning </w:t>
            </w:r>
            <w:r w:rsidRPr="006A460D">
              <w:rPr>
                <w:b/>
                <w:bCs/>
                <w:sz w:val="16"/>
                <w:szCs w:val="16"/>
              </w:rPr>
              <w:t>(</w:t>
            </w:r>
            <w:r w:rsidR="002D4DA4">
              <w:rPr>
                <w:b/>
                <w:bCs/>
                <w:sz w:val="16"/>
                <w:szCs w:val="16"/>
              </w:rPr>
              <w:t xml:space="preserve">% av </w:t>
            </w:r>
            <w:r w:rsidRPr="006A460D">
              <w:rPr>
                <w:b/>
                <w:bCs/>
                <w:sz w:val="16"/>
                <w:szCs w:val="16"/>
              </w:rPr>
              <w:t>barn 0–17 år</w:t>
            </w:r>
            <w:r w:rsidR="002D4DA4">
              <w:rPr>
                <w:b/>
                <w:bCs/>
                <w:sz w:val="16"/>
                <w:szCs w:val="16"/>
              </w:rPr>
              <w:t>, 2022)</w:t>
            </w:r>
          </w:p>
        </w:tc>
        <w:tc>
          <w:tcPr>
            <w:tcW w:w="1057" w:type="dxa"/>
          </w:tcPr>
          <w:p w14:paraId="41B99258" w14:textId="0A05B915" w:rsidR="00207859" w:rsidRPr="00622F5A" w:rsidRDefault="00207859" w:rsidP="00B15916">
            <w:pPr>
              <w:pStyle w:val="Brdtext"/>
              <w:rPr>
                <w:sz w:val="16"/>
                <w:szCs w:val="16"/>
                <w:lang w:val="en-GB"/>
              </w:rPr>
            </w:pPr>
            <w:r w:rsidRPr="00622F5A">
              <w:rPr>
                <w:sz w:val="16"/>
                <w:szCs w:val="16"/>
                <w:lang w:val="en-GB"/>
              </w:rPr>
              <w:t>1</w:t>
            </w:r>
            <w:r w:rsidR="002D4DA4" w:rsidRPr="00622F5A">
              <w:rPr>
                <w:sz w:val="16"/>
                <w:szCs w:val="16"/>
                <w:lang w:val="en-GB"/>
              </w:rPr>
              <w:t xml:space="preserve">9,9 </w:t>
            </w:r>
            <w:r w:rsidRPr="00622F5A">
              <w:rPr>
                <w:sz w:val="16"/>
                <w:szCs w:val="16"/>
                <w:lang w:val="en-GB"/>
              </w:rPr>
              <w:t>%</w:t>
            </w:r>
          </w:p>
          <w:p w14:paraId="07301250" w14:textId="4C66FB06" w:rsidR="00207859" w:rsidRPr="00622F5A" w:rsidRDefault="00207859" w:rsidP="00B15916">
            <w:pPr>
              <w:pStyle w:val="Brdtext"/>
              <w:rPr>
                <w:sz w:val="16"/>
                <w:szCs w:val="16"/>
                <w:lang w:val="en-GB"/>
              </w:rPr>
            </w:pPr>
            <w:r w:rsidRPr="00622F5A">
              <w:rPr>
                <w:sz w:val="16"/>
                <w:szCs w:val="16"/>
                <w:lang w:val="en-GB"/>
              </w:rPr>
              <w:t>(</w:t>
            </w:r>
            <w:r w:rsidR="002D4DA4" w:rsidRPr="00622F5A">
              <w:rPr>
                <w:sz w:val="16"/>
                <w:szCs w:val="16"/>
                <w:lang w:val="en-GB"/>
              </w:rPr>
              <w:t xml:space="preserve">EU </w:t>
            </w:r>
            <w:r w:rsidR="00622F5A" w:rsidRPr="00622F5A">
              <w:rPr>
                <w:sz w:val="16"/>
                <w:szCs w:val="16"/>
                <w:lang w:val="en-GB"/>
              </w:rPr>
              <w:t xml:space="preserve">24,8 </w:t>
            </w:r>
            <w:r w:rsidRPr="00622F5A">
              <w:rPr>
                <w:sz w:val="16"/>
                <w:szCs w:val="16"/>
                <w:lang w:val="en-GB"/>
              </w:rPr>
              <w:t>%)</w:t>
            </w:r>
          </w:p>
        </w:tc>
        <w:tc>
          <w:tcPr>
            <w:tcW w:w="708" w:type="dxa"/>
          </w:tcPr>
          <w:p w14:paraId="5A3B4075" w14:textId="77777777" w:rsidR="00207859" w:rsidRPr="00B82AB8" w:rsidRDefault="00207859" w:rsidP="00B15916">
            <w:pPr>
              <w:pStyle w:val="Brdtext"/>
              <w:rPr>
                <w:sz w:val="16"/>
                <w:szCs w:val="16"/>
                <w:lang w:val="en-GB"/>
              </w:rPr>
            </w:pPr>
          </w:p>
        </w:tc>
        <w:tc>
          <w:tcPr>
            <w:tcW w:w="709" w:type="dxa"/>
          </w:tcPr>
          <w:p w14:paraId="2E24A797" w14:textId="77777777" w:rsidR="00207859" w:rsidRPr="00B82AB8" w:rsidRDefault="00207859" w:rsidP="00B15916">
            <w:pPr>
              <w:pStyle w:val="Brdtext"/>
              <w:rPr>
                <w:sz w:val="16"/>
                <w:szCs w:val="16"/>
                <w:lang w:val="en-GB"/>
              </w:rPr>
            </w:pPr>
          </w:p>
        </w:tc>
        <w:tc>
          <w:tcPr>
            <w:tcW w:w="672" w:type="dxa"/>
          </w:tcPr>
          <w:p w14:paraId="4F3E1296" w14:textId="77777777" w:rsidR="00207859" w:rsidRPr="00B82AB8" w:rsidRDefault="00207859" w:rsidP="00B15916">
            <w:pPr>
              <w:pStyle w:val="Brdtext"/>
              <w:rPr>
                <w:sz w:val="16"/>
                <w:szCs w:val="16"/>
                <w:lang w:val="en-GB"/>
              </w:rPr>
            </w:pPr>
          </w:p>
        </w:tc>
        <w:tc>
          <w:tcPr>
            <w:tcW w:w="746" w:type="dxa"/>
          </w:tcPr>
          <w:p w14:paraId="1B5BF051" w14:textId="77777777" w:rsidR="00207859" w:rsidRPr="00B82AB8" w:rsidRDefault="00207859" w:rsidP="00B15916">
            <w:pPr>
              <w:pStyle w:val="Brdtext"/>
              <w:rPr>
                <w:sz w:val="16"/>
                <w:szCs w:val="16"/>
                <w:lang w:val="en-GB"/>
              </w:rPr>
            </w:pPr>
            <w:r w:rsidRPr="00B82AB8">
              <w:rPr>
                <w:sz w:val="16"/>
                <w:szCs w:val="16"/>
                <w:lang w:val="en-GB"/>
              </w:rPr>
              <w:t>X</w:t>
            </w:r>
          </w:p>
        </w:tc>
        <w:tc>
          <w:tcPr>
            <w:tcW w:w="994" w:type="dxa"/>
          </w:tcPr>
          <w:p w14:paraId="311F1584" w14:textId="77777777" w:rsidR="00207859" w:rsidRPr="00B82AB8" w:rsidRDefault="00207859" w:rsidP="00B15916">
            <w:pPr>
              <w:pStyle w:val="Brdtext"/>
              <w:rPr>
                <w:sz w:val="16"/>
                <w:szCs w:val="16"/>
                <w:lang w:val="en-GB"/>
              </w:rPr>
            </w:pPr>
          </w:p>
        </w:tc>
        <w:tc>
          <w:tcPr>
            <w:tcW w:w="565" w:type="dxa"/>
          </w:tcPr>
          <w:p w14:paraId="10892460" w14:textId="77777777" w:rsidR="00207859" w:rsidRPr="00B82AB8" w:rsidRDefault="00207859" w:rsidP="00B15916">
            <w:pPr>
              <w:pStyle w:val="Brdtext"/>
              <w:rPr>
                <w:sz w:val="16"/>
                <w:szCs w:val="16"/>
                <w:lang w:val="en-GB"/>
              </w:rPr>
            </w:pPr>
          </w:p>
        </w:tc>
        <w:tc>
          <w:tcPr>
            <w:tcW w:w="850" w:type="dxa"/>
          </w:tcPr>
          <w:p w14:paraId="78452BEC" w14:textId="77777777" w:rsidR="00207859" w:rsidRPr="00B82AB8" w:rsidRDefault="00207859" w:rsidP="00B15916">
            <w:pPr>
              <w:pStyle w:val="Brdtext"/>
              <w:rPr>
                <w:sz w:val="16"/>
                <w:szCs w:val="16"/>
                <w:lang w:val="en-GB"/>
              </w:rPr>
            </w:pPr>
          </w:p>
        </w:tc>
      </w:tr>
    </w:tbl>
    <w:p w14:paraId="4822F0E6" w14:textId="77777777" w:rsidR="00207859" w:rsidRDefault="00207859" w:rsidP="00992A43">
      <w:pPr>
        <w:pStyle w:val="Brdtext"/>
      </w:pPr>
    </w:p>
    <w:p w14:paraId="26047D86" w14:textId="65E87264" w:rsidR="0017448F" w:rsidRDefault="00131C1E" w:rsidP="006D729C">
      <w:pPr>
        <w:pStyle w:val="Brdtext"/>
      </w:pPr>
      <w:r w:rsidRPr="002261C1">
        <w:t>Med anledning av indikatorvärdena i den sociala resultattavlan kan nämnas att a</w:t>
      </w:r>
      <w:r w:rsidR="006D729C" w:rsidRPr="002261C1">
        <w:t>rbetslösheten har ökat sedan 2023 och uppg</w:t>
      </w:r>
      <w:r w:rsidR="006F2FEA">
        <w:t xml:space="preserve">ick </w:t>
      </w:r>
      <w:r w:rsidR="006D729C" w:rsidRPr="002261C1">
        <w:t>hösten 2024 till ca</w:t>
      </w:r>
      <w:r w:rsidR="00771664">
        <w:t> </w:t>
      </w:r>
      <w:r w:rsidR="006D729C" w:rsidRPr="002261C1">
        <w:t>8,5</w:t>
      </w:r>
      <w:r w:rsidR="00771664">
        <w:t> </w:t>
      </w:r>
      <w:r w:rsidR="006D729C" w:rsidRPr="002261C1">
        <w:t xml:space="preserve">procent. </w:t>
      </w:r>
      <w:r w:rsidRPr="002261C1">
        <w:t>Den rådande l</w:t>
      </w:r>
      <w:r w:rsidR="006D729C" w:rsidRPr="002261C1">
        <w:t xml:space="preserve">ågkonjunkturen har även </w:t>
      </w:r>
      <w:r w:rsidRPr="002261C1">
        <w:t xml:space="preserve">medfört </w:t>
      </w:r>
      <w:r w:rsidR="006D729C" w:rsidRPr="002261C1">
        <w:t xml:space="preserve">att långtidsarbetslösheten har ökat något under det senaste året, särskilt bland inrikes födda. </w:t>
      </w:r>
    </w:p>
    <w:p w14:paraId="00FD6379" w14:textId="0C441745" w:rsidR="00F56B2C" w:rsidRDefault="006D729C" w:rsidP="006D729C">
      <w:pPr>
        <w:pStyle w:val="Brdtext"/>
      </w:pPr>
      <w:r w:rsidRPr="002261C1">
        <w:t xml:space="preserve">Gapet i sysselsättning mellan personer </w:t>
      </w:r>
      <w:r w:rsidR="009E6C41">
        <w:t xml:space="preserve">med </w:t>
      </w:r>
      <w:r w:rsidR="00131C1E" w:rsidRPr="002261C1">
        <w:t xml:space="preserve">respektive </w:t>
      </w:r>
      <w:r w:rsidR="009E6C41">
        <w:t>utan</w:t>
      </w:r>
      <w:r w:rsidRPr="002261C1">
        <w:t xml:space="preserve"> funktionsnedsättning har i S</w:t>
      </w:r>
      <w:r w:rsidR="00131C1E" w:rsidRPr="002261C1">
        <w:t>verige m</w:t>
      </w:r>
      <w:r w:rsidRPr="002261C1">
        <w:t>inskat till 23,2 procentenheter 2023</w:t>
      </w:r>
      <w:r w:rsidR="00131C1E" w:rsidRPr="002261C1">
        <w:t xml:space="preserve"> (att jämföra med 25,7 procentenheter för 2022 i resultattavlan)</w:t>
      </w:r>
      <w:r w:rsidRPr="002261C1">
        <w:t xml:space="preserve">, vilket alltjämt är ett något större gap än genomsnittet i EU. De </w:t>
      </w:r>
      <w:r w:rsidR="00131C1E" w:rsidRPr="002261C1">
        <w:t>medlemsstater s</w:t>
      </w:r>
      <w:r w:rsidRPr="002261C1">
        <w:t xml:space="preserve">om har </w:t>
      </w:r>
      <w:r w:rsidR="00131C1E" w:rsidRPr="002261C1">
        <w:t xml:space="preserve">minst </w:t>
      </w:r>
      <w:r w:rsidRPr="002261C1">
        <w:t>gap har relativt låg sysselsättningsgrad generellt sett vilket aktualiserar frågan vad indikatorn verkligen visar</w:t>
      </w:r>
      <w:r w:rsidR="00131C1E" w:rsidRPr="002261C1">
        <w:t xml:space="preserve">. </w:t>
      </w:r>
      <w:r w:rsidRPr="002261C1">
        <w:t xml:space="preserve">OECD har med en ny metod försökt ta </w:t>
      </w:r>
      <w:r w:rsidRPr="002261C1">
        <w:lastRenderedPageBreak/>
        <w:t>hänsyn till dessa omständigheter och kommit fram till att S</w:t>
      </w:r>
      <w:r w:rsidR="00131C1E" w:rsidRPr="002261C1">
        <w:t xml:space="preserve">verige </w:t>
      </w:r>
      <w:r w:rsidRPr="002261C1">
        <w:t>och Schweiz tillhör de länder som i bäst utsträckning lyckas kombinera relativt</w:t>
      </w:r>
      <w:r>
        <w:rPr>
          <w:color w:val="FF0000"/>
        </w:rPr>
        <w:t xml:space="preserve"> </w:t>
      </w:r>
      <w:r w:rsidRPr="002261C1">
        <w:t>hög sysselsättning för personer med funktionsnedsättning med relativt litet gap.</w:t>
      </w:r>
      <w:r w:rsidRPr="002261C1">
        <w:rPr>
          <w:rStyle w:val="Fotnotsreferens"/>
        </w:rPr>
        <w:footnoteReference w:id="14"/>
      </w:r>
      <w:r w:rsidRPr="002261C1">
        <w:t xml:space="preserve"> </w:t>
      </w:r>
      <w:r w:rsidR="00916485">
        <w:t>A</w:t>
      </w:r>
      <w:r w:rsidR="00632035">
        <w:t xml:space="preserve">ndelen sysselsatta </w:t>
      </w:r>
      <w:r w:rsidR="00916485">
        <w:t xml:space="preserve">är dock </w:t>
      </w:r>
      <w:r w:rsidR="00632035">
        <w:t xml:space="preserve">fortsatt lägre bland personer med funktionsnedsättning än i övriga befolkningen. </w:t>
      </w:r>
    </w:p>
    <w:p w14:paraId="69E971E8" w14:textId="6EADF0A8" w:rsidR="00F56B2C" w:rsidRPr="00F56B2C" w:rsidRDefault="00F56B2C" w:rsidP="00F56B2C">
      <w:r w:rsidRPr="00F56B2C">
        <w:t>Under en längre tid har andelen som lever i risk för fattigdom eller social utestängning i Sverige legat relativt stabilt på omkring 18</w:t>
      </w:r>
      <w:r w:rsidR="00201968">
        <w:t xml:space="preserve"> procent</w:t>
      </w:r>
      <w:r w:rsidRPr="00F56B2C">
        <w:t>. År 2023 l</w:t>
      </w:r>
      <w:r w:rsidR="002557E1">
        <w:t>åg</w:t>
      </w:r>
      <w:r w:rsidRPr="00F56B2C">
        <w:t xml:space="preserve"> andelen på 18,4</w:t>
      </w:r>
      <w:r w:rsidR="00201968">
        <w:t xml:space="preserve"> procent </w:t>
      </w:r>
      <w:r w:rsidRPr="00F56B2C">
        <w:t>vilket är samma nivå som för 2030-målets referensår (2019).</w:t>
      </w:r>
    </w:p>
    <w:p w14:paraId="5F5455BB" w14:textId="56AF0F2E" w:rsidR="00F56B2C" w:rsidRPr="00F56B2C" w:rsidRDefault="00F56B2C" w:rsidP="00F56B2C">
      <w:r w:rsidRPr="00F56B2C">
        <w:t xml:space="preserve">Under de senaste åren har regeringen haft stort fokus på att bekämpa inflationen genom återhållsam finanspolitik och stöd till hushåll som drabbats hårdast av prisökningar. En central prioritering för regeringen har varit och är återupprättandet av arbetslinjen. Regeringen anser att arbete är den viktigaste faktorn för att minska risken för fattigdom och social utestängning. I sammanhanget är det viktigt att framhålla att de insatser som görs inom ramen för målen om sysselsättning och utbildning också bidrar till Sveriges nationella mål för att minska risken för fattigdom och social utestängning. </w:t>
      </w:r>
    </w:p>
    <w:p w14:paraId="438FB3A9" w14:textId="333706C2" w:rsidR="00442172" w:rsidRDefault="00442172" w:rsidP="00533CC5">
      <w:pPr>
        <w:pStyle w:val="Rubrik4utannumrering"/>
      </w:pPr>
      <w:r w:rsidRPr="0017189C">
        <w:t>Regeringens bedömning</w:t>
      </w:r>
      <w:r w:rsidR="00130BFA">
        <w:t xml:space="preserve"> </w:t>
      </w:r>
    </w:p>
    <w:p w14:paraId="3748708A" w14:textId="6F1D36AD" w:rsidR="002D1960" w:rsidRDefault="00B70515" w:rsidP="00B70515">
      <w:pPr>
        <w:pStyle w:val="Brdtext"/>
      </w:pPr>
      <w:r>
        <w:t xml:space="preserve">Regeringen bedömer att insatserna i programmet för ESF+ ligger väl i linje med </w:t>
      </w:r>
      <w:r w:rsidR="00F35AC7">
        <w:t xml:space="preserve">de berörda </w:t>
      </w:r>
      <w:r>
        <w:t xml:space="preserve">principerna i den </w:t>
      </w:r>
      <w:r w:rsidR="00EA762A">
        <w:t xml:space="preserve">europeiska pelaren för </w:t>
      </w:r>
      <w:r>
        <w:t xml:space="preserve">sociala </w:t>
      </w:r>
      <w:r w:rsidR="00EA762A">
        <w:t>rättigheter</w:t>
      </w:r>
      <w:r w:rsidR="00F32941">
        <w:t>.</w:t>
      </w:r>
      <w:r w:rsidR="0024627A">
        <w:t xml:space="preserve"> Programmet för ESF+ ska förstärka och utveckla den nationella arbetsmarknadspolitiken. </w:t>
      </w:r>
      <w:r w:rsidR="0073207D">
        <w:t xml:space="preserve">Det omfattar </w:t>
      </w:r>
      <w:proofErr w:type="gramStart"/>
      <w:r w:rsidR="0073207D">
        <w:t>bl.a.</w:t>
      </w:r>
      <w:proofErr w:type="gramEnd"/>
      <w:r w:rsidR="0073207D">
        <w:t xml:space="preserve"> </w:t>
      </w:r>
      <w:r w:rsidR="0073207D" w:rsidRPr="000D2FB5">
        <w:rPr>
          <w:i/>
          <w:iCs/>
        </w:rPr>
        <w:t>aktiva arbetsmarknadsåtgärder</w:t>
      </w:r>
      <w:r w:rsidR="0073207D">
        <w:t xml:space="preserve"> med ett fokus</w:t>
      </w:r>
      <w:r w:rsidR="00130BFA">
        <w:t xml:space="preserve"> </w:t>
      </w:r>
      <w:r w:rsidR="002D1960">
        <w:t>på</w:t>
      </w:r>
      <w:r w:rsidR="00BB5F95">
        <w:t xml:space="preserve"> </w:t>
      </w:r>
      <w:r w:rsidR="003B0EEB">
        <w:t xml:space="preserve">insatser som leder till att fler personer kommer i arbete eller närmar sig arbetsmarknaden. Insatserna </w:t>
      </w:r>
      <w:r w:rsidR="00F7045B">
        <w:t>bedöms</w:t>
      </w:r>
      <w:r w:rsidR="003B0EEB">
        <w:t xml:space="preserve"> också bidra till att personerna snabbare uppnår varaktig sysselsättning. </w:t>
      </w:r>
      <w:r w:rsidR="00BB5F95">
        <w:t xml:space="preserve">Målgrupperna är personer som riskerar att drabbas av fattigdom eller social utestängning, arbetslösa och unga från 13 år som riskerar studieavbrott. </w:t>
      </w:r>
    </w:p>
    <w:p w14:paraId="1CD69C92" w14:textId="3885F9A5" w:rsidR="002D1960" w:rsidRDefault="00130BFA" w:rsidP="00CA211A">
      <w:pPr>
        <w:pStyle w:val="Brdtext"/>
      </w:pPr>
      <w:r>
        <w:t xml:space="preserve">Med anledning av </w:t>
      </w:r>
      <w:r w:rsidR="00CA211A">
        <w:t xml:space="preserve">indikatorn för gapet i sysselsättning mellan personer med respektive utan funktionsnedsättning kan exempelvis nämnas </w:t>
      </w:r>
      <w:r w:rsidR="00442AE1">
        <w:t xml:space="preserve">satsningen #vibehövs </w:t>
      </w:r>
      <w:r w:rsidR="00CA211A">
        <w:t xml:space="preserve">i Östra Mellansverige. Projektet syftar till att hitta möjligheter </w:t>
      </w:r>
      <w:r w:rsidR="00442AE1">
        <w:t xml:space="preserve">för unga människor med intellektuell funktionsnedsättning som går anpassad utbildning att </w:t>
      </w:r>
      <w:r w:rsidR="00CA211A">
        <w:t xml:space="preserve">komma i </w:t>
      </w:r>
      <w:r w:rsidR="00442AE1">
        <w:t xml:space="preserve">arbete eller utbildning. Projektet ska även ge stöd till </w:t>
      </w:r>
      <w:r w:rsidR="00442AE1">
        <w:lastRenderedPageBreak/>
        <w:t xml:space="preserve">arbetsgivare så att de ser möjligheter med att bredda sin framtida kompetensförsörjning. Det pågår även liknande satsningar i Sydsverige och Norra Mellansverige. </w:t>
      </w:r>
      <w:r w:rsidR="00424390">
        <w:t xml:space="preserve">Med </w:t>
      </w:r>
      <w:r w:rsidR="00442AE1" w:rsidRPr="00AB266B">
        <w:t xml:space="preserve">utgångspunkt från </w:t>
      </w:r>
      <w:r w:rsidR="00424390" w:rsidRPr="00594A21">
        <w:t>det breda fokuset i programmet för ESF+ på personer som står utanför arbetsmarknaden och med personer</w:t>
      </w:r>
      <w:r w:rsidR="00345010">
        <w:t xml:space="preserve"> som </w:t>
      </w:r>
      <w:r w:rsidR="00424390" w:rsidRPr="00594A21">
        <w:t>har en funktionsnedsättning som medför nedsatt arbetsförmåga</w:t>
      </w:r>
      <w:r w:rsidR="00345010">
        <w:t xml:space="preserve"> </w:t>
      </w:r>
      <w:r w:rsidR="00424390" w:rsidRPr="00594A21">
        <w:t>som en av målgrupperna kan de</w:t>
      </w:r>
      <w:r w:rsidR="00345010">
        <w:t>ssa</w:t>
      </w:r>
      <w:r w:rsidR="00424390" w:rsidRPr="00594A21">
        <w:t xml:space="preserve"> in</w:t>
      </w:r>
      <w:r w:rsidR="007E7A8A">
        <w:t xml:space="preserve">gå </w:t>
      </w:r>
      <w:r w:rsidR="00424390" w:rsidRPr="00594A21">
        <w:t xml:space="preserve">i </w:t>
      </w:r>
      <w:r w:rsidR="007E7A8A">
        <w:t xml:space="preserve">insatserna </w:t>
      </w:r>
      <w:r w:rsidR="00424390" w:rsidRPr="00594A21">
        <w:t xml:space="preserve">i </w:t>
      </w:r>
      <w:proofErr w:type="gramStart"/>
      <w:r w:rsidR="00424390" w:rsidRPr="00594A21">
        <w:t>bl.a.</w:t>
      </w:r>
      <w:proofErr w:type="gramEnd"/>
      <w:r w:rsidR="00424390" w:rsidRPr="00594A21">
        <w:t xml:space="preserve"> programområdena A1 och A2</w:t>
      </w:r>
      <w:r w:rsidR="00112FD6">
        <w:t>.</w:t>
      </w:r>
    </w:p>
    <w:p w14:paraId="0D3476FA" w14:textId="2C4058B3" w:rsidR="005C4CC9" w:rsidRPr="003100AD" w:rsidRDefault="00F27A28" w:rsidP="00130BFA">
      <w:pPr>
        <w:pStyle w:val="Brdtext"/>
      </w:pPr>
      <w:r>
        <w:t xml:space="preserve">Programmet för ESF+ stödjer </w:t>
      </w:r>
      <w:r w:rsidR="00BE04AF">
        <w:t xml:space="preserve">med </w:t>
      </w:r>
      <w:r w:rsidR="00CD4E07">
        <w:t xml:space="preserve">de olika programområdena </w:t>
      </w:r>
      <w:r>
        <w:t xml:space="preserve">även principen </w:t>
      </w:r>
      <w:r w:rsidR="0094100F">
        <w:t xml:space="preserve">om </w:t>
      </w:r>
      <w:r w:rsidRPr="002261C1">
        <w:rPr>
          <w:i/>
          <w:iCs/>
        </w:rPr>
        <w:t>u</w:t>
      </w:r>
      <w:r w:rsidR="003578EF" w:rsidRPr="00F27A28">
        <w:rPr>
          <w:i/>
          <w:iCs/>
        </w:rPr>
        <w:t>tbildni</w:t>
      </w:r>
      <w:r w:rsidR="003578EF">
        <w:rPr>
          <w:i/>
          <w:iCs/>
        </w:rPr>
        <w:t>ng och livslångt lärande</w:t>
      </w:r>
      <w:r>
        <w:rPr>
          <w:i/>
          <w:iCs/>
        </w:rPr>
        <w:t xml:space="preserve">. </w:t>
      </w:r>
      <w:r w:rsidR="003100AD">
        <w:t xml:space="preserve">Det handlar om en stor bredd av insatser, som inkluderar </w:t>
      </w:r>
      <w:proofErr w:type="gramStart"/>
      <w:r w:rsidR="003100AD">
        <w:t>bl.a.</w:t>
      </w:r>
      <w:proofErr w:type="gramEnd"/>
      <w:r w:rsidR="003100AD">
        <w:t xml:space="preserve"> rustande insatser </w:t>
      </w:r>
      <w:r w:rsidR="00F17CEC">
        <w:t xml:space="preserve">för arbetslösa </w:t>
      </w:r>
      <w:r w:rsidR="003100AD">
        <w:t>i form av utbildning</w:t>
      </w:r>
      <w:r w:rsidR="00F17CEC">
        <w:t xml:space="preserve">, </w:t>
      </w:r>
      <w:r w:rsidR="009B3922">
        <w:t xml:space="preserve">insatser för att </w:t>
      </w:r>
      <w:r w:rsidR="00F17CEC">
        <w:t xml:space="preserve">personer ska komma i utbildning och för att </w:t>
      </w:r>
      <w:r w:rsidR="009B3922">
        <w:t>fler ska slutföra reguljär utbildning</w:t>
      </w:r>
      <w:r w:rsidR="003100AD">
        <w:t>.</w:t>
      </w:r>
      <w:r w:rsidR="00F17CEC">
        <w:t xml:space="preserve"> Vidare </w:t>
      </w:r>
      <w:r w:rsidR="00902AC8">
        <w:t xml:space="preserve">prioriteras </w:t>
      </w:r>
      <w:proofErr w:type="gramStart"/>
      <w:r w:rsidR="00902AC8">
        <w:t>bl.a.</w:t>
      </w:r>
      <w:proofErr w:type="gramEnd"/>
      <w:r w:rsidR="00902AC8">
        <w:t xml:space="preserve"> insatser som leder till att fler sysselsatta har den kompetens som möter arbetsmarknadens behov</w:t>
      </w:r>
      <w:r w:rsidR="00486A76">
        <w:t xml:space="preserve">. </w:t>
      </w:r>
      <w:r w:rsidR="00902AC8">
        <w:t xml:space="preserve"> </w:t>
      </w:r>
    </w:p>
    <w:p w14:paraId="74A531E9" w14:textId="426B013F" w:rsidR="00B70515" w:rsidRDefault="00D44AC4" w:rsidP="00B70515">
      <w:pPr>
        <w:pStyle w:val="Brdtext"/>
      </w:pPr>
      <w:r>
        <w:t xml:space="preserve">I enlighet med programmet för ESF+ och </w:t>
      </w:r>
      <w:proofErr w:type="gramStart"/>
      <w:r w:rsidR="00CD798E">
        <w:t>bl.a.</w:t>
      </w:r>
      <w:proofErr w:type="gramEnd"/>
      <w:r w:rsidR="00CD798E">
        <w:t xml:space="preserve"> </w:t>
      </w:r>
      <w:r>
        <w:t xml:space="preserve">artikel </w:t>
      </w:r>
      <w:r w:rsidR="00CD798E">
        <w:t xml:space="preserve">6 i förordningen om ESF+ ska </w:t>
      </w:r>
      <w:r w:rsidR="00CD798E">
        <w:rPr>
          <w:i/>
          <w:iCs/>
        </w:rPr>
        <w:t xml:space="preserve">jämställdhet, inkludering och icke-diskriminering </w:t>
      </w:r>
      <w:r w:rsidR="00CD798E">
        <w:t>beaktas i alla delar av programmet.</w:t>
      </w:r>
      <w:r w:rsidR="00E57FB1">
        <w:t xml:space="preserve"> </w:t>
      </w:r>
      <w:r w:rsidR="00205F41">
        <w:t xml:space="preserve">Samtliga projekt behöver beakta dessa övergripande principer. </w:t>
      </w:r>
      <w:r w:rsidR="00CE3AF2">
        <w:t>I</w:t>
      </w:r>
      <w:r w:rsidR="00486A76">
        <w:t xml:space="preserve"> </w:t>
      </w:r>
      <w:r w:rsidR="003D1707">
        <w:t xml:space="preserve">Svenska ESF-rådets </w:t>
      </w:r>
      <w:r w:rsidR="00CE3AF2">
        <w:t xml:space="preserve">urvalskriterier </w:t>
      </w:r>
      <w:r w:rsidR="00CF2F1C">
        <w:t>f</w:t>
      </w:r>
      <w:r w:rsidR="00CE3AF2">
        <w:t>ör beslut om projekt</w:t>
      </w:r>
      <w:r w:rsidR="00CF2F1C">
        <w:t xml:space="preserve"> </w:t>
      </w:r>
      <w:r w:rsidR="0079243D">
        <w:t xml:space="preserve">ställs krav på att </w:t>
      </w:r>
      <w:r w:rsidR="00CF2F1C">
        <w:t xml:space="preserve">stödsökanden </w:t>
      </w:r>
      <w:proofErr w:type="gramStart"/>
      <w:r w:rsidR="00CF2F1C">
        <w:t>bl.a.</w:t>
      </w:r>
      <w:proofErr w:type="gramEnd"/>
      <w:r w:rsidR="00CF2F1C">
        <w:t xml:space="preserve"> </w:t>
      </w:r>
      <w:r w:rsidR="0079243D">
        <w:t xml:space="preserve">ska </w:t>
      </w:r>
      <w:r w:rsidR="00CF2F1C">
        <w:t>identifiera utmaningar utifrån principer</w:t>
      </w:r>
      <w:r w:rsidR="00BE04AF">
        <w:t>na</w:t>
      </w:r>
      <w:r w:rsidR="0079243D">
        <w:t xml:space="preserve"> och </w:t>
      </w:r>
      <w:r w:rsidR="00486A76">
        <w:t xml:space="preserve">på </w:t>
      </w:r>
      <w:r w:rsidR="0079243D">
        <w:t xml:space="preserve">att projektmål ska sättas. </w:t>
      </w:r>
      <w:r w:rsidR="00377CF1">
        <w:t>Här kan särskilt nämnas att p</w:t>
      </w:r>
      <w:r w:rsidR="00205F41">
        <w:t xml:space="preserve">rojekten </w:t>
      </w:r>
      <w:r w:rsidR="00377CF1">
        <w:t xml:space="preserve">kan bidra till </w:t>
      </w:r>
      <w:r w:rsidR="00205F41">
        <w:t>målen för den svenska jämställdhetspolitiken</w:t>
      </w:r>
      <w:r w:rsidR="00F13929">
        <w:t>,</w:t>
      </w:r>
      <w:r w:rsidR="00205F41">
        <w:t xml:space="preserve"> i synnerhet delmålen för ekonomisk jämställdhet och jämställd utbildning. </w:t>
      </w:r>
      <w:r w:rsidR="003D1707">
        <w:t xml:space="preserve">Svenska ESF-rådet </w:t>
      </w:r>
      <w:r w:rsidR="00205F41">
        <w:t xml:space="preserve">har </w:t>
      </w:r>
      <w:r w:rsidR="009B5315">
        <w:t>i uppdrag</w:t>
      </w:r>
      <w:r w:rsidR="00205F41">
        <w:t xml:space="preserve"> att i</w:t>
      </w:r>
      <w:r w:rsidR="00DC3662">
        <w:t xml:space="preserve">nom ramen för regeringens </w:t>
      </w:r>
      <w:r w:rsidR="00696EA8">
        <w:t>utvecklingsprogram för jämställdhetsintegrering (</w:t>
      </w:r>
      <w:proofErr w:type="spellStart"/>
      <w:r w:rsidR="00696EA8">
        <w:t>JiM</w:t>
      </w:r>
      <w:proofErr w:type="spellEnd"/>
      <w:r w:rsidR="00696EA8">
        <w:t>) redovisa resultat</w:t>
      </w:r>
      <w:r w:rsidR="00486A76">
        <w:t>,</w:t>
      </w:r>
      <w:r w:rsidR="00696EA8">
        <w:t xml:space="preserve"> </w:t>
      </w:r>
      <w:r w:rsidR="009B5315">
        <w:t>och om möjligt effekter</w:t>
      </w:r>
      <w:r w:rsidR="00486A76">
        <w:t>,</w:t>
      </w:r>
      <w:r w:rsidR="009B5315">
        <w:t xml:space="preserve"> i relation till de jämställ</w:t>
      </w:r>
      <w:r w:rsidR="0040154C">
        <w:t>d</w:t>
      </w:r>
      <w:r w:rsidR="009B5315">
        <w:t>hetspolitiska målen</w:t>
      </w:r>
      <w:r w:rsidR="00CB599D">
        <w:t>.</w:t>
      </w:r>
      <w:r w:rsidR="00696EA8">
        <w:rPr>
          <w:rStyle w:val="Fotnotsreferens"/>
        </w:rPr>
        <w:footnoteReference w:id="15"/>
      </w:r>
      <w:r w:rsidR="00DC3662">
        <w:t xml:space="preserve"> </w:t>
      </w:r>
      <w:r w:rsidR="003D1707">
        <w:t xml:space="preserve">Svenska ESF-rådet </w:t>
      </w:r>
      <w:r w:rsidR="00B70515">
        <w:t xml:space="preserve">tar fram ett </w:t>
      </w:r>
      <w:r w:rsidR="00B70515" w:rsidRPr="00237C47">
        <w:t xml:space="preserve">s.k. könsuppdelningsindex avseende tidigare arbetslösa deltagare ett år efter avslutat deltagande. </w:t>
      </w:r>
      <w:r w:rsidR="00B70515">
        <w:t xml:space="preserve">Detta omfattar en skala där högsta värde anger </w:t>
      </w:r>
      <w:r w:rsidR="00B70515" w:rsidRPr="00237C47">
        <w:t xml:space="preserve">att kvinnor och män är helt uppdelade på olika yrken. </w:t>
      </w:r>
      <w:r w:rsidR="00B70515">
        <w:t xml:space="preserve">Resultat finns ännu inte att redovisa för programmet för ESF+ men resultat för det nationella socialfondsprogrammet 2014–2020 tyder på att </w:t>
      </w:r>
      <w:r w:rsidR="00BE04AF">
        <w:t xml:space="preserve">det </w:t>
      </w:r>
      <w:r w:rsidR="00B70515">
        <w:t xml:space="preserve">programmet </w:t>
      </w:r>
      <w:r w:rsidR="00391D4F">
        <w:t xml:space="preserve">bidrog </w:t>
      </w:r>
      <w:r w:rsidR="00B70515">
        <w:t>till en mer jämställd arbetsmarknad</w:t>
      </w:r>
      <w:r w:rsidR="00A51471">
        <w:t>.</w:t>
      </w:r>
      <w:r w:rsidR="00B70515">
        <w:t xml:space="preserve"> </w:t>
      </w:r>
    </w:p>
    <w:bookmarkEnd w:id="4"/>
    <w:p w14:paraId="51FF52A6" w14:textId="150CD5B8" w:rsidR="00992A43" w:rsidRPr="008607A8" w:rsidRDefault="00992A43" w:rsidP="008607A8">
      <w:pPr>
        <w:pStyle w:val="Rubrik1"/>
      </w:pPr>
      <w:r w:rsidRPr="008607A8">
        <w:t xml:space="preserve">Den socioekonomiska situationen </w:t>
      </w:r>
    </w:p>
    <w:p w14:paraId="40247615" w14:textId="27B13089" w:rsidR="00BE5BB2" w:rsidRPr="002261C1" w:rsidRDefault="00BE5BB2" w:rsidP="00BE5BB2">
      <w:pPr>
        <w:pStyle w:val="Brdtext"/>
      </w:pPr>
      <w:r w:rsidRPr="002261C1">
        <w:t xml:space="preserve">Den ekonomiska aktiviteten i Sverige är dämpad och ekonomin befinner sig sedan 2023 i en lågkonjunktur. En svag utveckling av investeringar och hushållens konsumtion, i spåren av hög inflation och höga räntor, är de </w:t>
      </w:r>
      <w:r w:rsidRPr="002261C1">
        <w:lastRenderedPageBreak/>
        <w:t xml:space="preserve">främsta orsakerna till den svaga utvecklingen. Antalet nyanmälda platser vid Arbetsförmedlingen har minskat samtidigt som antalet konkurser och varsel om uppsägning har ökat. </w:t>
      </w:r>
      <w:r w:rsidR="00BE04AF">
        <w:t>A</w:t>
      </w:r>
      <w:r w:rsidRPr="002261C1">
        <w:t>rbetslösheten har ökat sedan 2023 och upp</w:t>
      </w:r>
      <w:r w:rsidR="006F4B97">
        <w:t>g</w:t>
      </w:r>
      <w:r w:rsidR="00486A76">
        <w:t xml:space="preserve">ick </w:t>
      </w:r>
      <w:r w:rsidRPr="00486A76">
        <w:t>hösten 2024 till ca 8,5 procent</w:t>
      </w:r>
      <w:r w:rsidRPr="002261C1">
        <w:t xml:space="preserve">. Lågkonjunkturen har även fört med sig att långtidsarbetslösheten har ökat något under det senaste året, särskilt bland inrikes födda. Långtidsarbetslösheten är dock fortfarande något lägre än EU-genomsnittet. </w:t>
      </w:r>
    </w:p>
    <w:p w14:paraId="51D2CBEF" w14:textId="14F3BB86" w:rsidR="00BE5BB2" w:rsidRPr="002261C1" w:rsidRDefault="00BE5BB2" w:rsidP="00BE5BB2">
      <w:pPr>
        <w:pStyle w:val="Brdtext"/>
      </w:pPr>
      <w:r w:rsidRPr="002261C1">
        <w:t>Arbetslösheten varierar regionalt från närmare 4 procent i de nordligaste länen till över 9 procent i Skåne. Även vissa län i Svealand har hög</w:t>
      </w:r>
      <w:r>
        <w:rPr>
          <w:color w:val="FF0000"/>
        </w:rPr>
        <w:t xml:space="preserve"> </w:t>
      </w:r>
      <w:r w:rsidRPr="002261C1">
        <w:t xml:space="preserve">arbetslöshet. Ökningstakten av arbetslösa har varit störst i storstadslänen och i delar av södra Sverige, medan den varit lägre i </w:t>
      </w:r>
      <w:r w:rsidR="00F554B4" w:rsidRPr="002261C1">
        <w:t xml:space="preserve">de </w:t>
      </w:r>
      <w:r w:rsidRPr="002261C1">
        <w:t>norra delarna av landet.</w:t>
      </w:r>
    </w:p>
    <w:p w14:paraId="219EC21C" w14:textId="5AAC1E20" w:rsidR="00B05DAD" w:rsidRDefault="00591FE7" w:rsidP="00BE5BB2">
      <w:pPr>
        <w:pStyle w:val="Brdtext"/>
      </w:pPr>
      <w:r w:rsidRPr="00E11210">
        <w:rPr>
          <w:color w:val="000000" w:themeColor="text1"/>
          <w:sz w:val="24"/>
          <w:szCs w:val="24"/>
        </w:rPr>
        <w:t xml:space="preserve">Den ökade arbetslösheten leder på sikt till att långtidsarbetslösheten stiger, särskilt i de län där arbetsmarknaden försvagats mest under lågkonjunkturen. Det riskerar att leda till ökade regionala obalanser. </w:t>
      </w:r>
      <w:r w:rsidR="00BE5BB2" w:rsidRPr="00E11210">
        <w:rPr>
          <w:color w:val="000000" w:themeColor="text1"/>
        </w:rPr>
        <w:t xml:space="preserve">Obalanserna understryks av </w:t>
      </w:r>
      <w:r w:rsidR="00BE5BB2" w:rsidRPr="002261C1">
        <w:t>att många arbetsgivare under en lång tid har haft svårigheter med att rekrytera arbetskraft. I norra Sverige är kompetensförsörjningen särskilt utmanande till följd av en ökad efterfrågan på arbetskraft kombinerat med låg arbetslöshet och sviktande befolkningsunderlag i stora delar</w:t>
      </w:r>
      <w:r w:rsidR="00B05DAD">
        <w:t xml:space="preserve">. </w:t>
      </w:r>
    </w:p>
    <w:p w14:paraId="5277FF7F" w14:textId="15BA9412" w:rsidR="00BE5BB2" w:rsidRPr="002261C1" w:rsidRDefault="00BE5BB2" w:rsidP="00BE5BB2">
      <w:pPr>
        <w:pStyle w:val="Brdtext"/>
      </w:pPr>
      <w:r w:rsidRPr="002261C1">
        <w:t>Andelen personer i åldern 20–64 år som under ett år arbetar (alternativt erhåller annan egen försörjning) i sådan omfattning att de antas vara självförsörjande har ökat under den senaste tioårsperioden. Flera faktorer ligger bakom ökningen, främst en ökande sysselsättningsgrad mellan 2013 och 2022 för såväl inrikes som utrikes födda</w:t>
      </w:r>
      <w:r w:rsidR="00486A76">
        <w:t>,</w:t>
      </w:r>
      <w:r w:rsidRPr="002261C1">
        <w:t xml:space="preserve"> liksom en ökad andel heltidsarbetande kvinnor. </w:t>
      </w:r>
    </w:p>
    <w:p w14:paraId="60918952" w14:textId="36531690" w:rsidR="00BE5BB2" w:rsidRPr="002261C1" w:rsidRDefault="00BE5BB2" w:rsidP="00BE5BB2">
      <w:pPr>
        <w:pStyle w:val="Brdtext"/>
      </w:pPr>
      <w:r w:rsidRPr="002261C1">
        <w:t>Självförsörjningsgraden uppgick 2022 till 79 procent för inrikes födda, 69</w:t>
      </w:r>
      <w:r w:rsidR="00486A76">
        <w:t> </w:t>
      </w:r>
      <w:r w:rsidRPr="002261C1">
        <w:t xml:space="preserve">procent för födda i övriga Europa och 57 procent för utomeuropeiskt födda. Sedan 2013 har andelen självförsörjande ökat med 7 procentenheter för inrikes födda, 12 procentenheter </w:t>
      </w:r>
      <w:r w:rsidR="00247E73">
        <w:t xml:space="preserve">för </w:t>
      </w:r>
      <w:r w:rsidRPr="002261C1">
        <w:t>födda i övriga Europa och 13</w:t>
      </w:r>
      <w:r w:rsidR="00486A76">
        <w:t> </w:t>
      </w:r>
      <w:r w:rsidRPr="002261C1">
        <w:t xml:space="preserve">procentenheter för utomeuropeiskt födda. Ökningen för den senare gruppen kan delvis förklaras av att arbetsmarknadsinträdet har gynnats av att den genomsnittliga vistelsetiden har stigit i takt med att färre har invandrat under senare år. </w:t>
      </w:r>
    </w:p>
    <w:p w14:paraId="4A4DF4FE" w14:textId="14B0699E" w:rsidR="00BE5BB2" w:rsidRPr="002261C1" w:rsidRDefault="00BE5BB2" w:rsidP="00BE5BB2">
      <w:pPr>
        <w:pStyle w:val="Brdtext"/>
      </w:pPr>
      <w:r w:rsidRPr="002261C1">
        <w:t xml:space="preserve">Det finns fortfarande stora skillnader mellan områden vad gäller </w:t>
      </w:r>
      <w:proofErr w:type="gramStart"/>
      <w:r w:rsidRPr="002261C1">
        <w:t>bl.a.</w:t>
      </w:r>
      <w:proofErr w:type="gramEnd"/>
      <w:r w:rsidRPr="002261C1">
        <w:t xml:space="preserve"> arbetslöshet, mottagande av ekonomiskt bistånd och skolresultat. Även om skillnaden i flera avseenden har minskat något under den senaste </w:t>
      </w:r>
      <w:r w:rsidRPr="002261C1">
        <w:lastRenderedPageBreak/>
        <w:t>tioårsperioden behöver fler vuxna gå från utanförskap till att försörja sig själva och sina familjer.</w:t>
      </w:r>
    </w:p>
    <w:p w14:paraId="2BBC84D3" w14:textId="77777777" w:rsidR="00BE5BB2" w:rsidRDefault="00BE5BB2" w:rsidP="00BE5BB2">
      <w:pPr>
        <w:pStyle w:val="Brdtext"/>
      </w:pPr>
      <w:r w:rsidRPr="002261C1">
        <w:t xml:space="preserve">År 2022 bodde ca 13 procent av rikets befolkning i områden med socioekonomiska utmaningar. I dessa områden är utbildningsnivån lägre än genomsnittet för riket och fler är arbetslösa. Andelen utrikes födda är betydligt större i dessa områden jämfört med genomsnittet i riket. I områden </w:t>
      </w:r>
      <w:r w:rsidRPr="00486A76">
        <w:t>med stora socioekonomiska</w:t>
      </w:r>
      <w:r w:rsidRPr="002261C1">
        <w:t xml:space="preserve"> utmaningar var förvärvsfrekvensen i åldrarna 20–64 år ca 60 procent 2022, vilket kan jämföras med ca 80 procent för hela riket. Närmare hälften av de boende i dessa områden levde i hushåll med låg ekonomisk standard, att jämföra med ca 13 procent i hela riket. Även om andelen förvärvsarbetande har ökat och mottagare av ekonomiskt bistånd har minskat, har andelen med låg ekonomisk standard varit oförändrad under den senaste tioårsperioden.</w:t>
      </w:r>
    </w:p>
    <w:p w14:paraId="35D8BF7E" w14:textId="0752E64C" w:rsidR="000465A5" w:rsidRDefault="000465A5" w:rsidP="00533CC5">
      <w:pPr>
        <w:pStyle w:val="Rubrik4utannumrering"/>
      </w:pPr>
      <w:r w:rsidRPr="00533CC5">
        <w:t>Regeringens bedömning</w:t>
      </w:r>
    </w:p>
    <w:p w14:paraId="572943E9" w14:textId="7F6B23EE" w:rsidR="000D099E" w:rsidRPr="000D099E" w:rsidRDefault="000D099E" w:rsidP="002261C1">
      <w:pPr>
        <w:pStyle w:val="Brdtext"/>
      </w:pPr>
      <w:r>
        <w:t xml:space="preserve">Regeringen bedömer att </w:t>
      </w:r>
      <w:r w:rsidR="000054A6">
        <w:t xml:space="preserve">den socioekonomiska utvecklingen inte motiverar förändringar av inriktningen av programmet för ESF+. Programmets </w:t>
      </w:r>
      <w:r w:rsidR="00594A21">
        <w:t xml:space="preserve">breda </w:t>
      </w:r>
      <w:r w:rsidR="000054A6">
        <w:t>inriktnin</w:t>
      </w:r>
      <w:r w:rsidR="007238D7">
        <w:t>g</w:t>
      </w:r>
      <w:r w:rsidR="009909C0">
        <w:t xml:space="preserve"> och utformning</w:t>
      </w:r>
      <w:r w:rsidR="007238D7">
        <w:t xml:space="preserve"> </w:t>
      </w:r>
      <w:r w:rsidR="00594A21">
        <w:t xml:space="preserve">innebär att det fortsatt kan bidra till att möta utmaningarna på arbetsmarknaden. Regeringen anser </w:t>
      </w:r>
      <w:r w:rsidR="000625C9">
        <w:t xml:space="preserve">vidare </w:t>
      </w:r>
      <w:r w:rsidR="00594A21">
        <w:t xml:space="preserve">att </w:t>
      </w:r>
      <w:r w:rsidR="003D1707">
        <w:t xml:space="preserve">Svenska ESF-rådet </w:t>
      </w:r>
      <w:r w:rsidR="000625C9">
        <w:t xml:space="preserve">på ett </w:t>
      </w:r>
      <w:r w:rsidR="00594A21">
        <w:t xml:space="preserve">flexibelt </w:t>
      </w:r>
      <w:r w:rsidR="000625C9">
        <w:t xml:space="preserve">sätt </w:t>
      </w:r>
      <w:r w:rsidR="00594A21">
        <w:t xml:space="preserve">arbetar för att anpassa projektutlysningarna till aktuella och långsiktiga behov. </w:t>
      </w:r>
      <w:r w:rsidR="000054A6">
        <w:t xml:space="preserve"> </w:t>
      </w:r>
    </w:p>
    <w:p w14:paraId="5032B63D" w14:textId="105CB452" w:rsidR="00992A43" w:rsidRDefault="00FA1E3C" w:rsidP="00C32DB9">
      <w:pPr>
        <w:pStyle w:val="Rubrik1"/>
      </w:pPr>
      <w:r>
        <w:t>U</w:t>
      </w:r>
      <w:r w:rsidR="00992A43" w:rsidRPr="00F3217E">
        <w:t>tvärderingar</w:t>
      </w:r>
    </w:p>
    <w:p w14:paraId="476C27B1" w14:textId="6B4553F2" w:rsidR="005D5022" w:rsidRDefault="005D5022" w:rsidP="0017189C">
      <w:pPr>
        <w:pStyle w:val="Brdtext"/>
      </w:pPr>
      <w:r w:rsidRPr="000525CE">
        <w:t>I enlighet med artikel 44 i förordning (EU) 2021/1060 har en utvärderingsplan upprättats för programmet för ESF+</w:t>
      </w:r>
      <w:r w:rsidR="00B42814">
        <w:t xml:space="preserve">. En </w:t>
      </w:r>
      <w:r w:rsidRPr="000525CE">
        <w:t xml:space="preserve">utvärdering </w:t>
      </w:r>
      <w:r w:rsidR="00B42814">
        <w:t>s</w:t>
      </w:r>
      <w:r w:rsidRPr="000525CE">
        <w:t xml:space="preserve">ka göras </w:t>
      </w:r>
      <w:r w:rsidR="00C64DEF">
        <w:t xml:space="preserve">och </w:t>
      </w:r>
      <w:r w:rsidR="00B719B6">
        <w:t>redovisas sen</w:t>
      </w:r>
      <w:r w:rsidRPr="000525CE">
        <w:t xml:space="preserve">ast den </w:t>
      </w:r>
      <w:bookmarkStart w:id="5" w:name="_Hlk179458563"/>
      <w:r w:rsidRPr="000525CE">
        <w:t xml:space="preserve">30 juni 2029. Därutöver </w:t>
      </w:r>
      <w:r w:rsidR="00C47532">
        <w:t xml:space="preserve">har </w:t>
      </w:r>
      <w:r w:rsidR="002637DE">
        <w:t xml:space="preserve">Svenska ESF-rådet </w:t>
      </w:r>
      <w:r w:rsidR="00C47532">
        <w:t xml:space="preserve">fyra större pågående utvärderingsinsatser, för vilka det dock ännu inte finns resultat att redovisa. </w:t>
      </w:r>
      <w:r w:rsidR="00262F2B">
        <w:t>Dessa u</w:t>
      </w:r>
      <w:r w:rsidR="00C47532">
        <w:t xml:space="preserve">tvärderingar </w:t>
      </w:r>
      <w:r w:rsidR="00262F2B">
        <w:t>är</w:t>
      </w:r>
      <w:r w:rsidR="00425345">
        <w:t xml:space="preserve"> följande</w:t>
      </w:r>
      <w:r w:rsidR="002B4822">
        <w:t xml:space="preserve">. </w:t>
      </w:r>
      <w:r w:rsidR="00262F2B">
        <w:t xml:space="preserve"> </w:t>
      </w:r>
    </w:p>
    <w:p w14:paraId="2263D848" w14:textId="21E46105" w:rsidR="00554F8C" w:rsidRDefault="00554F8C" w:rsidP="00554F8C">
      <w:pPr>
        <w:pStyle w:val="Brdtext"/>
      </w:pPr>
      <w:r w:rsidRPr="00E828AA">
        <w:rPr>
          <w:i/>
          <w:iCs/>
        </w:rPr>
        <w:t xml:space="preserve">Kontrafaktisk effektutvärdering </w:t>
      </w:r>
      <w:r>
        <w:rPr>
          <w:i/>
          <w:iCs/>
        </w:rPr>
        <w:t xml:space="preserve">av </w:t>
      </w:r>
      <w:r w:rsidRPr="00E828AA">
        <w:rPr>
          <w:i/>
          <w:iCs/>
        </w:rPr>
        <w:t>kompetensutveckling</w:t>
      </w:r>
      <w:r>
        <w:rPr>
          <w:i/>
          <w:iCs/>
        </w:rPr>
        <w:t xml:space="preserve"> för sysselsatta: </w:t>
      </w:r>
      <w:r>
        <w:t>I perspektiv av att kompetensutveckling av sysselsatta har varit en av insatserna i socialfondsprogrammen under flera programperioder genomförs en kontrafaktisk utvärdering av de långsiktiga effekterna av deltagande i sådana projekt. Utvärderingen ska slutrapporteras i slutet av 2025.</w:t>
      </w:r>
    </w:p>
    <w:p w14:paraId="423864CA" w14:textId="0B5814CE" w:rsidR="00554F8C" w:rsidRDefault="00554F8C" w:rsidP="00554F8C">
      <w:pPr>
        <w:pStyle w:val="Brdtext"/>
      </w:pPr>
      <w:r w:rsidRPr="00E828AA">
        <w:rPr>
          <w:i/>
          <w:iCs/>
        </w:rPr>
        <w:t>Utvärdering av jämställdhet</w:t>
      </w:r>
      <w:r>
        <w:rPr>
          <w:i/>
          <w:iCs/>
        </w:rPr>
        <w:t xml:space="preserve">: </w:t>
      </w:r>
      <w:r>
        <w:t xml:space="preserve">En utvärdering av arbetet med den övergripande principen om jämställdhet har initierats efter en inventering av kunskapsbehov på </w:t>
      </w:r>
      <w:r w:rsidR="002D26C7">
        <w:t>Svenska ESF-rådet</w:t>
      </w:r>
      <w:r>
        <w:t xml:space="preserve">. I inventeringen framkom ett flertal </w:t>
      </w:r>
      <w:r>
        <w:lastRenderedPageBreak/>
        <w:t>frågor kopplade till genomförandet av programmet för ESF+ och dess effekter. Utvärderingen ska slutrapporteras i slutet av 2025.</w:t>
      </w:r>
    </w:p>
    <w:p w14:paraId="215AE28D" w14:textId="50B6126D" w:rsidR="00C47532" w:rsidRDefault="00C47532" w:rsidP="00C47532">
      <w:pPr>
        <w:pStyle w:val="Brdtext"/>
      </w:pPr>
      <w:r w:rsidRPr="00262F2B">
        <w:rPr>
          <w:i/>
          <w:iCs/>
        </w:rPr>
        <w:t xml:space="preserve">Klusterutvärdering av </w:t>
      </w:r>
      <w:r w:rsidR="00262F2B">
        <w:rPr>
          <w:i/>
          <w:iCs/>
        </w:rPr>
        <w:t xml:space="preserve">insatser för att förebygga </w:t>
      </w:r>
      <w:r w:rsidRPr="00262F2B">
        <w:rPr>
          <w:i/>
          <w:iCs/>
        </w:rPr>
        <w:t>skolavhopp</w:t>
      </w:r>
      <w:r w:rsidR="00425345">
        <w:rPr>
          <w:i/>
          <w:iCs/>
        </w:rPr>
        <w:t xml:space="preserve">: </w:t>
      </w:r>
      <w:r w:rsidR="00D45334">
        <w:t>Målgruppen unga från 13</w:t>
      </w:r>
      <w:r w:rsidR="00D35196">
        <w:t xml:space="preserve"> år</w:t>
      </w:r>
      <w:r w:rsidR="00D45334">
        <w:t xml:space="preserve"> som riskerar skolavhopp är ny i programmet för ESF+ jämfört med det nationella socialfondsprogrammet 2014–2020. En klusterutvärdering av insatserna för denna målgrupp genomförs mot den bakgrunden för att bidra med kunskap och lärande</w:t>
      </w:r>
      <w:r w:rsidR="00FC2542">
        <w:t xml:space="preserve"> kopplat till målet att motverka skolavhopp </w:t>
      </w:r>
      <w:r w:rsidR="003A520E">
        <w:t xml:space="preserve">och </w:t>
      </w:r>
      <w:r w:rsidR="00FC2542">
        <w:t xml:space="preserve">minska problematisk skolfrånvaro. </w:t>
      </w:r>
      <w:r>
        <w:t xml:space="preserve">Utvärderingen ska slutrapporteras </w:t>
      </w:r>
      <w:r w:rsidR="00D45334">
        <w:t xml:space="preserve">i </w:t>
      </w:r>
      <w:r>
        <w:t>juni 2026.</w:t>
      </w:r>
    </w:p>
    <w:p w14:paraId="4A569E62" w14:textId="0D376428" w:rsidR="00C47532" w:rsidRDefault="00C47532" w:rsidP="00C47532">
      <w:pPr>
        <w:pStyle w:val="Brdtext"/>
      </w:pPr>
      <w:r w:rsidRPr="00F7045B">
        <w:rPr>
          <w:i/>
        </w:rPr>
        <w:t xml:space="preserve">Kontrafaktisk effektutvärdering av insatser för </w:t>
      </w:r>
      <w:r w:rsidR="00DD59ED" w:rsidRPr="00F7045B">
        <w:rPr>
          <w:i/>
        </w:rPr>
        <w:t xml:space="preserve">övergång till </w:t>
      </w:r>
      <w:r w:rsidRPr="00F7045B">
        <w:rPr>
          <w:i/>
        </w:rPr>
        <w:t>arbete och studier</w:t>
      </w:r>
      <w:r w:rsidR="002B4822" w:rsidRPr="00F7045B">
        <w:rPr>
          <w:i/>
        </w:rPr>
        <w:t>:</w:t>
      </w:r>
      <w:r w:rsidR="002B4822" w:rsidRPr="00F7045B">
        <w:t xml:space="preserve"> </w:t>
      </w:r>
      <w:r w:rsidR="00B719B6">
        <w:t xml:space="preserve">En kontrafaktisk effektutvärdering av insatser för övergång </w:t>
      </w:r>
      <w:r w:rsidR="00DB4B28">
        <w:t xml:space="preserve">till arbete och studier </w:t>
      </w:r>
      <w:r>
        <w:t xml:space="preserve">har </w:t>
      </w:r>
      <w:r w:rsidR="002E5A30">
        <w:t xml:space="preserve">påbörjats </w:t>
      </w:r>
      <w:r>
        <w:t xml:space="preserve">efter en inventering av kunskapsbehov </w:t>
      </w:r>
      <w:r w:rsidR="002E5A30">
        <w:t xml:space="preserve">i </w:t>
      </w:r>
      <w:r w:rsidR="002D26C7">
        <w:t xml:space="preserve">Svenska ESF-rådet. </w:t>
      </w:r>
      <w:r>
        <w:t>Utvärdering</w:t>
      </w:r>
      <w:r w:rsidR="002E5A30">
        <w:t>en</w:t>
      </w:r>
      <w:r>
        <w:t xml:space="preserve"> fokuserar på </w:t>
      </w:r>
      <w:r w:rsidR="002E5A30">
        <w:t xml:space="preserve">de </w:t>
      </w:r>
      <w:r>
        <w:t>långsiktiga effekter</w:t>
      </w:r>
      <w:r w:rsidR="002E5A30">
        <w:t>na</w:t>
      </w:r>
      <w:r>
        <w:t xml:space="preserve"> av </w:t>
      </w:r>
      <w:r w:rsidR="002E5A30">
        <w:t>dessa socialfonds</w:t>
      </w:r>
      <w:r>
        <w:t>insatser</w:t>
      </w:r>
      <w:r w:rsidR="002E5A30">
        <w:t xml:space="preserve">. </w:t>
      </w:r>
      <w:r>
        <w:t xml:space="preserve">Utvärderingen </w:t>
      </w:r>
      <w:r w:rsidR="002E5A30">
        <w:t xml:space="preserve">ska </w:t>
      </w:r>
      <w:r>
        <w:t xml:space="preserve">bidra med information som är relevant </w:t>
      </w:r>
      <w:r w:rsidR="002E5A30">
        <w:t xml:space="preserve">för att </w:t>
      </w:r>
      <w:r>
        <w:t xml:space="preserve">förbättra utformningen </w:t>
      </w:r>
      <w:r w:rsidR="00BC7B09">
        <w:t>och</w:t>
      </w:r>
      <w:r>
        <w:t xml:space="preserve"> genomförandet av framtida program. Utvärderingen ska slutrapporteras </w:t>
      </w:r>
      <w:r w:rsidR="00BC7B09">
        <w:t xml:space="preserve">under </w:t>
      </w:r>
      <w:r>
        <w:t>hösten 2026.</w:t>
      </w:r>
    </w:p>
    <w:p w14:paraId="36DB4697" w14:textId="209A5D41" w:rsidR="00EA63B5" w:rsidRPr="00600F82" w:rsidRDefault="00946E43" w:rsidP="00EA63B5">
      <w:pPr>
        <w:pStyle w:val="Brdtext"/>
      </w:pPr>
      <w:r w:rsidRPr="00600F82">
        <w:t xml:space="preserve">I fråga om </w:t>
      </w:r>
      <w:r w:rsidRPr="00600F82">
        <w:rPr>
          <w:i/>
          <w:iCs/>
        </w:rPr>
        <w:t>utvärdering på programnivå</w:t>
      </w:r>
      <w:r w:rsidRPr="00600F82">
        <w:t xml:space="preserve"> har </w:t>
      </w:r>
      <w:r w:rsidR="00DC46BD" w:rsidRPr="00600F82">
        <w:t xml:space="preserve">konstaterats </w:t>
      </w:r>
      <w:r w:rsidRPr="00600F82">
        <w:t xml:space="preserve">att de olika programområdena </w:t>
      </w:r>
      <w:r w:rsidR="00E55FD0" w:rsidRPr="00600F82">
        <w:t xml:space="preserve">inte har </w:t>
      </w:r>
      <w:r w:rsidR="00E40586" w:rsidRPr="00600F82">
        <w:t xml:space="preserve">gemensamma målgrupper </w:t>
      </w:r>
      <w:r w:rsidR="00BA5E45" w:rsidRPr="00600F82">
        <w:t xml:space="preserve">och att det därför </w:t>
      </w:r>
      <w:r w:rsidR="00E40586" w:rsidRPr="00600F82">
        <w:t xml:space="preserve">saknas goda förutsättningar för att aggregera resultat mellan </w:t>
      </w:r>
      <w:r w:rsidR="005E1F2E" w:rsidRPr="00600F82">
        <w:t>program</w:t>
      </w:r>
      <w:r w:rsidR="00E40586" w:rsidRPr="00600F82">
        <w:t>områden</w:t>
      </w:r>
      <w:r w:rsidR="005E1F2E" w:rsidRPr="00600F82">
        <w:t>a</w:t>
      </w:r>
      <w:r w:rsidR="00E40586" w:rsidRPr="00600F82">
        <w:t xml:space="preserve"> på ett meningsfullt sätt. Att dela upp utvärderingsarbetet utifrån respektive programområdes unika förutsättningar </w:t>
      </w:r>
      <w:r w:rsidR="00C70637" w:rsidRPr="00600F82">
        <w:t xml:space="preserve">bedöms </w:t>
      </w:r>
      <w:r w:rsidR="00E40586" w:rsidRPr="00600F82">
        <w:t xml:space="preserve">ge de bästa förutsättningarna för en sammanhållen programutvärdering. </w:t>
      </w:r>
      <w:r w:rsidR="00CE348E" w:rsidRPr="00600F82">
        <w:t xml:space="preserve">Det </w:t>
      </w:r>
      <w:r w:rsidR="00E40586" w:rsidRPr="00600F82">
        <w:t>ger även bättre förutsättningar för externa utvärderare att knyta till sig forskarkompetens som är skräddarsydd för programområdets innehåll.</w:t>
      </w:r>
      <w:r w:rsidR="00EA63B5" w:rsidRPr="00600F82">
        <w:t xml:space="preserve"> Programutvärdering av </w:t>
      </w:r>
      <w:r w:rsidR="00CE348E" w:rsidRPr="00600F82">
        <w:t>respektive programområde kommer slutföras enligt följande: P</w:t>
      </w:r>
      <w:r w:rsidR="00EA63B5" w:rsidRPr="00600F82">
        <w:t>rogramområde E</w:t>
      </w:r>
      <w:r w:rsidR="00CE348E" w:rsidRPr="00600F82">
        <w:t xml:space="preserve"> </w:t>
      </w:r>
      <w:r w:rsidR="00EA63B5" w:rsidRPr="00600F82">
        <w:t>senast 2026</w:t>
      </w:r>
      <w:r w:rsidR="00CE348E" w:rsidRPr="00600F82">
        <w:t xml:space="preserve">, </w:t>
      </w:r>
      <w:r w:rsidR="00EA63B5" w:rsidRPr="00600F82">
        <w:t>programområde C senast 2027</w:t>
      </w:r>
      <w:r w:rsidR="00CE348E" w:rsidRPr="00600F82">
        <w:t xml:space="preserve">, programområdena </w:t>
      </w:r>
      <w:r w:rsidR="00EA63B5" w:rsidRPr="00600F82">
        <w:t>A1, A2</w:t>
      </w:r>
      <w:r w:rsidR="00CE348E" w:rsidRPr="00600F82">
        <w:t>, B</w:t>
      </w:r>
      <w:r w:rsidR="00EA63B5" w:rsidRPr="00600F82">
        <w:t xml:space="preserve"> och D senast våren 2028. </w:t>
      </w:r>
    </w:p>
    <w:p w14:paraId="02604FAD" w14:textId="6E9EEB58" w:rsidR="00333DED" w:rsidRPr="00600F82" w:rsidRDefault="00E40586" w:rsidP="00E40586">
      <w:pPr>
        <w:pStyle w:val="Brdtext"/>
      </w:pPr>
      <w:r w:rsidRPr="00600F82">
        <w:t xml:space="preserve">Utöver utvärdering av de enskilda programområdena </w:t>
      </w:r>
      <w:r w:rsidR="002705EA" w:rsidRPr="00600F82">
        <w:t xml:space="preserve">kommer </w:t>
      </w:r>
      <w:r w:rsidRPr="00600F82">
        <w:t xml:space="preserve">en övergripande utvärdering göras </w:t>
      </w:r>
      <w:r w:rsidR="002705EA" w:rsidRPr="00600F82">
        <w:t xml:space="preserve">för en sammantagen bedömning av </w:t>
      </w:r>
      <w:r w:rsidRPr="00600F82">
        <w:t>hela programmet</w:t>
      </w:r>
      <w:r w:rsidR="00526F04" w:rsidRPr="00600F82">
        <w:t xml:space="preserve"> för ESF+</w:t>
      </w:r>
      <w:r w:rsidR="008946F7" w:rsidRPr="00600F82">
        <w:t>, av dess relevans och samstämmighet</w:t>
      </w:r>
      <w:r w:rsidR="002705EA" w:rsidRPr="00600F82">
        <w:t xml:space="preserve">. </w:t>
      </w:r>
      <w:r w:rsidRPr="00600F82">
        <w:t xml:space="preserve">Den ska också bedöma programmets sammantagna effekter med stöd i </w:t>
      </w:r>
      <w:r w:rsidR="00393207" w:rsidRPr="00600F82">
        <w:t xml:space="preserve">respektive </w:t>
      </w:r>
      <w:r w:rsidRPr="00600F82">
        <w:t xml:space="preserve">utvärdering av programområdena. </w:t>
      </w:r>
      <w:r w:rsidR="00526F04" w:rsidRPr="00600F82">
        <w:t>(P</w:t>
      </w:r>
      <w:r w:rsidR="00333DED" w:rsidRPr="00600F82">
        <w:t xml:space="preserve">rogramområde </w:t>
      </w:r>
      <w:r w:rsidR="00526F04" w:rsidRPr="00600F82">
        <w:t xml:space="preserve">F Fast-Care kommer att utvärderas inom ramen för den övergripande programutvärderingen med fokus på programområdets relevans och samstämmighet). </w:t>
      </w:r>
      <w:r w:rsidR="00333DED" w:rsidRPr="00600F82">
        <w:t xml:space="preserve">Utvärderingen </w:t>
      </w:r>
      <w:r w:rsidR="008946F7" w:rsidRPr="00600F82">
        <w:t xml:space="preserve">ska </w:t>
      </w:r>
      <w:r w:rsidRPr="00600F82">
        <w:t>slutför</w:t>
      </w:r>
      <w:r w:rsidR="008946F7" w:rsidRPr="00600F82">
        <w:t>a</w:t>
      </w:r>
      <w:r w:rsidRPr="00600F82">
        <w:t xml:space="preserve">s senast våren 2029. </w:t>
      </w:r>
    </w:p>
    <w:p w14:paraId="21FF515A" w14:textId="0DC3BE97" w:rsidR="008946F7" w:rsidRPr="00600F82" w:rsidRDefault="00333DED" w:rsidP="00E40586">
      <w:pPr>
        <w:pStyle w:val="Brdtext"/>
      </w:pPr>
      <w:r w:rsidRPr="00600F82">
        <w:lastRenderedPageBreak/>
        <w:t>Samtliga utvärderingsinsatser på programnivå ska ta hänsyn till de övergripande</w:t>
      </w:r>
      <w:r w:rsidR="00251681" w:rsidRPr="00600F82">
        <w:t xml:space="preserve"> (</w:t>
      </w:r>
      <w:r w:rsidRPr="00600F82">
        <w:t>horisontella</w:t>
      </w:r>
      <w:r w:rsidR="00251681" w:rsidRPr="00600F82">
        <w:t>)</w:t>
      </w:r>
      <w:r w:rsidRPr="00600F82">
        <w:t xml:space="preserve"> principerna.</w:t>
      </w:r>
    </w:p>
    <w:p w14:paraId="47D87A45" w14:textId="77777777" w:rsidR="00054098" w:rsidRPr="0017189C" w:rsidRDefault="00054098" w:rsidP="00054098">
      <w:pPr>
        <w:pStyle w:val="Rubrik4utannumrering"/>
      </w:pPr>
      <w:r w:rsidRPr="0017189C">
        <w:t>Regeringens bedömning</w:t>
      </w:r>
    </w:p>
    <w:p w14:paraId="50A2C76E" w14:textId="0FCA84AA" w:rsidR="001E52D6" w:rsidRPr="002261C1" w:rsidRDefault="0070447A" w:rsidP="0017189C">
      <w:pPr>
        <w:pStyle w:val="Brdtext"/>
      </w:pPr>
      <w:r>
        <w:t xml:space="preserve">Regeringen konstaterar att </w:t>
      </w:r>
      <w:r w:rsidR="00931DB2">
        <w:t>det ännu inte finns utvärderingsresultat att redovisa för programmet för ESF+</w:t>
      </w:r>
      <w:r w:rsidR="00A92AC3">
        <w:t xml:space="preserve"> och </w:t>
      </w:r>
      <w:r w:rsidR="002A12A9">
        <w:t xml:space="preserve">att bedömningar för halvtidsöversynen med anledning av sådana därmed inte kan göras. </w:t>
      </w:r>
      <w:r w:rsidR="00A37A13">
        <w:t xml:space="preserve"> </w:t>
      </w:r>
    </w:p>
    <w:p w14:paraId="772AD051" w14:textId="517D82EF" w:rsidR="00313A77" w:rsidRPr="00313A77" w:rsidRDefault="00C005D7" w:rsidP="00C32DB9">
      <w:pPr>
        <w:pStyle w:val="Rubrik1"/>
      </w:pPr>
      <w:bookmarkStart w:id="6" w:name="_Hlk187671156"/>
      <w:r>
        <w:t>Uppföljning av</w:t>
      </w:r>
      <w:r w:rsidR="00302CC3" w:rsidRPr="00313A77">
        <w:t xml:space="preserve"> delmålen </w:t>
      </w:r>
      <w:r w:rsidR="00D84852">
        <w:t xml:space="preserve">för 2024 </w:t>
      </w:r>
      <w:r w:rsidR="00D67DAA">
        <w:t>samt revidering av mål för 2029</w:t>
      </w:r>
    </w:p>
    <w:p w14:paraId="29590ED5" w14:textId="080C72D0" w:rsidR="00264E6E" w:rsidRDefault="00025AF2" w:rsidP="00E56F01">
      <w:pPr>
        <w:pStyle w:val="Brdtext"/>
        <w:rPr>
          <w:color w:val="000000" w:themeColor="text1"/>
        </w:rPr>
      </w:pPr>
      <w:r w:rsidRPr="002261C1">
        <w:rPr>
          <w:color w:val="000000" w:themeColor="text1"/>
        </w:rPr>
        <w:t xml:space="preserve">I det följande </w:t>
      </w:r>
      <w:r w:rsidR="00294E56" w:rsidRPr="002261C1">
        <w:rPr>
          <w:color w:val="000000" w:themeColor="text1"/>
        </w:rPr>
        <w:t>redovisas den hittillsvarande utvecklingen inom respektive programområde</w:t>
      </w:r>
      <w:r w:rsidR="006B178E" w:rsidRPr="002261C1">
        <w:rPr>
          <w:color w:val="000000" w:themeColor="text1"/>
        </w:rPr>
        <w:t xml:space="preserve"> i programmet för ESF+</w:t>
      </w:r>
      <w:r w:rsidR="00294E56" w:rsidRPr="002261C1">
        <w:rPr>
          <w:color w:val="000000" w:themeColor="text1"/>
        </w:rPr>
        <w:t>, särskilt i fråga om framstegen med att uppnå delmålen</w:t>
      </w:r>
      <w:r w:rsidR="008036C1">
        <w:rPr>
          <w:color w:val="000000" w:themeColor="text1"/>
        </w:rPr>
        <w:t xml:space="preserve"> för utfallsindikatorerna</w:t>
      </w:r>
      <w:r w:rsidR="00294E56" w:rsidRPr="002261C1">
        <w:rPr>
          <w:color w:val="000000" w:themeColor="text1"/>
        </w:rPr>
        <w:t xml:space="preserve">. </w:t>
      </w:r>
      <w:r w:rsidR="00AC660E" w:rsidRPr="002261C1">
        <w:rPr>
          <w:color w:val="000000" w:themeColor="text1"/>
        </w:rPr>
        <w:t xml:space="preserve">Programområde </w:t>
      </w:r>
      <w:r w:rsidR="00AE49D6" w:rsidRPr="002261C1">
        <w:rPr>
          <w:color w:val="000000" w:themeColor="text1"/>
        </w:rPr>
        <w:t xml:space="preserve">F </w:t>
      </w:r>
      <w:r w:rsidR="00AC660E" w:rsidRPr="002261C1">
        <w:rPr>
          <w:color w:val="000000" w:themeColor="text1"/>
        </w:rPr>
        <w:t>Fast-Care</w:t>
      </w:r>
      <w:r w:rsidR="00271B6D">
        <w:rPr>
          <w:rStyle w:val="Fotnotsreferens"/>
          <w:color w:val="000000" w:themeColor="text1"/>
        </w:rPr>
        <w:footnoteReference w:id="16"/>
      </w:r>
      <w:r w:rsidR="00AC660E" w:rsidRPr="002261C1">
        <w:rPr>
          <w:color w:val="000000" w:themeColor="text1"/>
        </w:rPr>
        <w:t xml:space="preserve"> avslutade</w:t>
      </w:r>
      <w:r w:rsidR="00111BB2" w:rsidRPr="002261C1">
        <w:rPr>
          <w:color w:val="000000" w:themeColor="text1"/>
        </w:rPr>
        <w:t>s under första halvåret 2024 och ingår inte i redovisningen</w:t>
      </w:r>
      <w:r w:rsidR="00192490" w:rsidRPr="00D9516D">
        <w:rPr>
          <w:color w:val="000000" w:themeColor="text1"/>
        </w:rPr>
        <w:t>.</w:t>
      </w:r>
      <w:r w:rsidR="00111BB2" w:rsidRPr="002261C1">
        <w:rPr>
          <w:color w:val="000000" w:themeColor="text1"/>
        </w:rPr>
        <w:t xml:space="preserve"> </w:t>
      </w:r>
    </w:p>
    <w:p w14:paraId="1FD94CBE" w14:textId="24040F8E" w:rsidR="00264E6E" w:rsidRDefault="00264E6E" w:rsidP="00E56F01">
      <w:pPr>
        <w:pStyle w:val="Brdtext"/>
        <w:rPr>
          <w:color w:val="000000" w:themeColor="text1"/>
        </w:rPr>
      </w:pPr>
      <w:r>
        <w:rPr>
          <w:color w:val="000000" w:themeColor="text1"/>
        </w:rPr>
        <w:t>Regeringen har genom ändring av förordning</w:t>
      </w:r>
      <w:r w:rsidR="00E33985">
        <w:rPr>
          <w:rStyle w:val="Fotnotsreferens"/>
          <w:color w:val="000000" w:themeColor="text1"/>
        </w:rPr>
        <w:footnoteReference w:id="17"/>
      </w:r>
      <w:r>
        <w:rPr>
          <w:color w:val="000000" w:themeColor="text1"/>
        </w:rPr>
        <w:t xml:space="preserve"> justerat den valutakurs som ska tillämpas vid </w:t>
      </w:r>
      <w:r w:rsidR="00E33985">
        <w:rPr>
          <w:color w:val="000000" w:themeColor="text1"/>
        </w:rPr>
        <w:t xml:space="preserve">beräkning av de finansiella ramarna. Mot denna bakgrund föreslår regeringen en uppräkning av de i programmet angivna slutmålen för respektive programområde. </w:t>
      </w:r>
      <w:r w:rsidR="00D94F83">
        <w:rPr>
          <w:color w:val="000000" w:themeColor="text1"/>
        </w:rPr>
        <w:t xml:space="preserve">Vidare föreslår regeringen en uppräkning av slutmålet för programområde B (Öka möjligheten till arbete). I huvudsak med anledning av </w:t>
      </w:r>
      <w:r w:rsidR="00D94F83" w:rsidRPr="00D94F83">
        <w:rPr>
          <w:color w:val="000000" w:themeColor="text1"/>
        </w:rPr>
        <w:t>den budgeteringsmodell som tillämpas för programområdet.</w:t>
      </w:r>
    </w:p>
    <w:p w14:paraId="0BF58994" w14:textId="18D85B24" w:rsidR="00052E1F" w:rsidRDefault="00052E1F" w:rsidP="00C41FF6">
      <w:pPr>
        <w:pStyle w:val="Rubrik3utannumrering"/>
      </w:pPr>
      <w:r>
        <w:t xml:space="preserve">Programområde </w:t>
      </w:r>
      <w:r w:rsidR="00A81B28">
        <w:t>A1</w:t>
      </w:r>
      <w:r w:rsidR="00C41FF6">
        <w:t xml:space="preserve"> Öka möjligheten till ett inkluderande och hållbart arbetsliv för alla </w:t>
      </w:r>
      <w:r w:rsidR="00A81B28">
        <w:t xml:space="preserve"> </w:t>
      </w:r>
    </w:p>
    <w:p w14:paraId="3EC39E25" w14:textId="0B91CA1E" w:rsidR="00693EC9" w:rsidRPr="00CD552F" w:rsidRDefault="00693EC9" w:rsidP="00693EC9">
      <w:pPr>
        <w:pStyle w:val="Brdtext"/>
      </w:pPr>
      <w:r w:rsidRPr="00CD552F">
        <w:t xml:space="preserve">Programområde A1 omfattar främst insatser </w:t>
      </w:r>
      <w:r w:rsidR="00A37A13" w:rsidRPr="00CD552F">
        <w:t xml:space="preserve">i form av kompetensutveckling </w:t>
      </w:r>
      <w:r w:rsidRPr="00CD552F">
        <w:t xml:space="preserve">för </w:t>
      </w:r>
      <w:r w:rsidR="00A37A13" w:rsidRPr="00CD552F">
        <w:t>sysselsatta</w:t>
      </w:r>
      <w:r w:rsidRPr="00CD552F">
        <w:t>. Det kan handla om insatser direkt riktade till individe</w:t>
      </w:r>
      <w:r w:rsidR="008126D4" w:rsidRPr="00CD552F">
        <w:t>rna</w:t>
      </w:r>
      <w:r w:rsidRPr="00CD552F">
        <w:t>, att bygga strukturer och samverkan samt förändra de könsuppdelade yrkesvalen. Gemensamt för satsningarna är att de ska bidra till ett inkluderande och hållbart arbetsliv för alla.</w:t>
      </w:r>
    </w:p>
    <w:p w14:paraId="4C49CB12" w14:textId="1A178C47" w:rsidR="00025AF2" w:rsidRPr="009A03D5" w:rsidRDefault="00025AF2" w:rsidP="00025AF2">
      <w:pPr>
        <w:pStyle w:val="Brdtext"/>
        <w:rPr>
          <w:color w:val="000000" w:themeColor="text1"/>
        </w:rPr>
      </w:pPr>
      <w:r w:rsidRPr="00E17D76">
        <w:t xml:space="preserve">Under de första åren </w:t>
      </w:r>
      <w:r>
        <w:t xml:space="preserve">av programgenomförandet har </w:t>
      </w:r>
      <w:r w:rsidRPr="00E17D76">
        <w:t xml:space="preserve">projektutlysningarna i regel </w:t>
      </w:r>
      <w:r>
        <w:t xml:space="preserve">haft en bred inriktning på att stärka </w:t>
      </w:r>
      <w:r w:rsidRPr="00D966E4">
        <w:t>yrkesverksamma</w:t>
      </w:r>
      <w:r w:rsidR="00067B39" w:rsidRPr="00D966E4">
        <w:t xml:space="preserve"> </w:t>
      </w:r>
      <w:r w:rsidR="00067B39" w:rsidRPr="00D966E4">
        <w:rPr>
          <w:color w:val="000000" w:themeColor="text1"/>
        </w:rPr>
        <w:t>inom</w:t>
      </w:r>
      <w:r w:rsidR="00684355" w:rsidRPr="00D966E4">
        <w:rPr>
          <w:color w:val="000000" w:themeColor="text1"/>
        </w:rPr>
        <w:t xml:space="preserve"> alla sektorer på arbetsmarknaden</w:t>
      </w:r>
      <w:r w:rsidR="00693EC9" w:rsidRPr="00D966E4">
        <w:rPr>
          <w:color w:val="000000" w:themeColor="text1"/>
        </w:rPr>
        <w:t xml:space="preserve">. </w:t>
      </w:r>
      <w:r w:rsidR="001F3912" w:rsidRPr="00D966E4">
        <w:rPr>
          <w:color w:val="000000" w:themeColor="text1"/>
        </w:rPr>
        <w:t>Efterfrågetrycket var inledningsvis relativt lågt men</w:t>
      </w:r>
      <w:r w:rsidR="001F3912" w:rsidRPr="002261C1">
        <w:rPr>
          <w:color w:val="000000" w:themeColor="text1"/>
        </w:rPr>
        <w:t xml:space="preserve"> har ökat med särskilda informationsinsatser</w:t>
      </w:r>
      <w:r w:rsidR="00E44B57" w:rsidRPr="009A03D5">
        <w:rPr>
          <w:color w:val="000000" w:themeColor="text1"/>
        </w:rPr>
        <w:t xml:space="preserve"> av</w:t>
      </w:r>
      <w:r w:rsidR="002D26C7">
        <w:rPr>
          <w:color w:val="000000" w:themeColor="text1"/>
        </w:rPr>
        <w:t xml:space="preserve"> Svenska ESF-rådet.</w:t>
      </w:r>
      <w:r w:rsidR="0042480C" w:rsidRPr="009A03D5">
        <w:rPr>
          <w:color w:val="000000" w:themeColor="text1"/>
          <w:highlight w:val="yellow"/>
        </w:rPr>
        <w:t xml:space="preserve"> </w:t>
      </w:r>
    </w:p>
    <w:p w14:paraId="2A5DB3B7" w14:textId="01CC7570" w:rsidR="004E2147" w:rsidRDefault="00141DA4" w:rsidP="004E2147">
      <w:pPr>
        <w:pStyle w:val="Brdtext"/>
      </w:pPr>
      <w:r w:rsidRPr="009A03D5">
        <w:rPr>
          <w:color w:val="000000" w:themeColor="text1"/>
        </w:rPr>
        <w:lastRenderedPageBreak/>
        <w:t xml:space="preserve">Som några exempel på </w:t>
      </w:r>
      <w:r w:rsidR="009A03D5" w:rsidRPr="009A03D5">
        <w:rPr>
          <w:color w:val="000000" w:themeColor="text1"/>
        </w:rPr>
        <w:t>bredden av s</w:t>
      </w:r>
      <w:r w:rsidRPr="009A03D5">
        <w:rPr>
          <w:color w:val="000000" w:themeColor="text1"/>
        </w:rPr>
        <w:t>atsningar över landet kan nämnas följande.</w:t>
      </w:r>
      <w:r w:rsidR="009A03D5">
        <w:rPr>
          <w:color w:val="000000" w:themeColor="text1"/>
        </w:rPr>
        <w:t xml:space="preserve"> </w:t>
      </w:r>
      <w:r w:rsidR="00025AF2">
        <w:t xml:space="preserve">I region Övre Norrland </w:t>
      </w:r>
      <w:r>
        <w:t xml:space="preserve">och nationellt </w:t>
      </w:r>
      <w:r w:rsidR="00025AF2">
        <w:t xml:space="preserve">pågår en satsning för att stärka kompetensen för yrkesverksamma inom ekonomisk brottsbekämpning. I Sydsverige har satsningar </w:t>
      </w:r>
      <w:r>
        <w:t xml:space="preserve">gjorts </w:t>
      </w:r>
      <w:r w:rsidR="00025AF2">
        <w:t xml:space="preserve">med inriktning </w:t>
      </w:r>
      <w:r w:rsidR="00710460">
        <w:t xml:space="preserve">på </w:t>
      </w:r>
      <w:r w:rsidR="00025AF2">
        <w:t>breddad rekrytering</w:t>
      </w:r>
      <w:r w:rsidR="00710460">
        <w:t xml:space="preserve"> för att bidra till en </w:t>
      </w:r>
      <w:r w:rsidR="00025AF2">
        <w:t>inkluderande arbetsmarknad. Över landet pågår det även förstudie</w:t>
      </w:r>
      <w:r w:rsidR="00710460">
        <w:t>r</w:t>
      </w:r>
      <w:r w:rsidR="00025AF2">
        <w:t xml:space="preserve"> med inriktning </w:t>
      </w:r>
      <w:r w:rsidR="00710460">
        <w:t xml:space="preserve">på </w:t>
      </w:r>
      <w:r w:rsidR="00952C7A">
        <w:t xml:space="preserve">att </w:t>
      </w:r>
      <w:r w:rsidR="00025AF2">
        <w:t xml:space="preserve">exempelvis förebygga och motverka sjukskrivningar i arbetslivet samt </w:t>
      </w:r>
      <w:r w:rsidR="00710460">
        <w:t xml:space="preserve">på </w:t>
      </w:r>
      <w:r w:rsidR="00025AF2">
        <w:t>utvecklad samverkan mellan myndigheter och organisationer inom kompetensförsörjning och social hållbarhet. I övergångsregion</w:t>
      </w:r>
      <w:r w:rsidR="00693EC9">
        <w:t>en</w:t>
      </w:r>
      <w:r w:rsidR="00025AF2">
        <w:t xml:space="preserve"> Norra Mellansverige har </w:t>
      </w:r>
      <w:proofErr w:type="gramStart"/>
      <w:r w:rsidR="00025AF2">
        <w:t xml:space="preserve">satsningarna </w:t>
      </w:r>
      <w:r w:rsidR="00FB7F12">
        <w:t xml:space="preserve"> </w:t>
      </w:r>
      <w:r w:rsidR="00710460">
        <w:t>in</w:t>
      </w:r>
      <w:r w:rsidR="00025AF2">
        <w:t>riktats</w:t>
      </w:r>
      <w:proofErr w:type="gramEnd"/>
      <w:r w:rsidR="00025AF2">
        <w:t xml:space="preserve"> </w:t>
      </w:r>
      <w:r w:rsidR="00067B39">
        <w:t xml:space="preserve">på </w:t>
      </w:r>
      <w:r w:rsidR="007619A2">
        <w:t xml:space="preserve">bl.a. </w:t>
      </w:r>
      <w:r w:rsidR="00025AF2">
        <w:t>breddad rekrytering och strategisk</w:t>
      </w:r>
      <w:r w:rsidR="00B05DAD">
        <w:t xml:space="preserve"> planering av</w:t>
      </w:r>
      <w:r w:rsidR="00025AF2">
        <w:t xml:space="preserve"> kompetensutveckling för små och medelstora företag.</w:t>
      </w:r>
      <w:r w:rsidR="008D085E">
        <w:t xml:space="preserve"> </w:t>
      </w:r>
    </w:p>
    <w:p w14:paraId="07CC934F" w14:textId="15B40D21" w:rsidR="004E2147" w:rsidRPr="006128BB" w:rsidRDefault="004E2147" w:rsidP="004E2147">
      <w:pPr>
        <w:pStyle w:val="Brdtext"/>
      </w:pPr>
      <w:r w:rsidRPr="006128BB">
        <w:t xml:space="preserve">Sedan programstarten t.o.m. 2024 har </w:t>
      </w:r>
      <w:r w:rsidRPr="009F3C70">
        <w:t xml:space="preserve">60 </w:t>
      </w:r>
      <w:r w:rsidRPr="006128BB">
        <w:t xml:space="preserve">utlysningar publicerats, </w:t>
      </w:r>
      <w:r w:rsidRPr="00215562">
        <w:t xml:space="preserve">varav 47 avser tillämpningsprojekt och 13 avser förstudier. </w:t>
      </w:r>
    </w:p>
    <w:p w14:paraId="40115DBA" w14:textId="77777777" w:rsidR="00033045" w:rsidRDefault="00033045" w:rsidP="00B44C1E">
      <w:pPr>
        <w:pStyle w:val="Rubrik5utannumrering"/>
      </w:pPr>
      <w:r>
        <w:t xml:space="preserve">Mer utvecklade regioner </w:t>
      </w:r>
    </w:p>
    <w:p w14:paraId="50852376" w14:textId="126AFFD9" w:rsidR="008A7B9F" w:rsidRDefault="008A7B9F" w:rsidP="008A7B9F">
      <w:pPr>
        <w:pStyle w:val="Brdtext"/>
      </w:pPr>
      <w:r w:rsidRPr="008A7B9F">
        <w:rPr>
          <w:b/>
          <w:bCs/>
        </w:rPr>
        <w:t>Delmål per 2024:</w:t>
      </w:r>
      <w:r>
        <w:t xml:space="preserve"> 27 432 deltagare (anställda, </w:t>
      </w:r>
      <w:proofErr w:type="gramStart"/>
      <w:r>
        <w:t>inbegripet egenföretagare</w:t>
      </w:r>
      <w:proofErr w:type="gramEnd"/>
      <w:r>
        <w:t xml:space="preserve">)   </w:t>
      </w:r>
    </w:p>
    <w:p w14:paraId="1EAE367E" w14:textId="6D509415" w:rsidR="008A7B9F" w:rsidRDefault="008A7B9F" w:rsidP="008A7B9F">
      <w:pPr>
        <w:pStyle w:val="Brdtext"/>
      </w:pPr>
      <w:r w:rsidRPr="008A7B9F">
        <w:rPr>
          <w:b/>
          <w:bCs/>
        </w:rPr>
        <w:t>Uppnått per 2024:</w:t>
      </w:r>
      <w:r>
        <w:t xml:space="preserve"> </w:t>
      </w:r>
      <w:r w:rsidR="00E54110">
        <w:t>1</w:t>
      </w:r>
      <w:r w:rsidR="002D4545">
        <w:t>40</w:t>
      </w:r>
      <w:r>
        <w:t xml:space="preserve"> </w:t>
      </w:r>
      <w:r w:rsidR="002D4545">
        <w:t>procent</w:t>
      </w:r>
      <w:r w:rsidR="00D626E0">
        <w:t xml:space="preserve"> (38 492 deltagare)</w:t>
      </w:r>
      <w:r>
        <w:t xml:space="preserve"> </w:t>
      </w:r>
    </w:p>
    <w:p w14:paraId="1C6D4456" w14:textId="5D93EAE0" w:rsidR="008A7B9F" w:rsidRDefault="008A7B9F" w:rsidP="008A7B9F">
      <w:pPr>
        <w:pStyle w:val="Brdtext"/>
      </w:pPr>
      <w:r>
        <w:t xml:space="preserve">Delmålet har </w:t>
      </w:r>
      <w:r w:rsidR="001F2669">
        <w:t>överträffats väsentligt</w:t>
      </w:r>
      <w:r>
        <w:t xml:space="preserve">. Efterfrågan har </w:t>
      </w:r>
      <w:r w:rsidR="00C92993">
        <w:t xml:space="preserve">ökat över tid, men </w:t>
      </w:r>
      <w:r>
        <w:t>med relativt stor variation mellan regionerna</w:t>
      </w:r>
      <w:r w:rsidR="00906F31">
        <w:t xml:space="preserve"> respektive mellan olika nationella utlysningar. </w:t>
      </w:r>
      <w:r w:rsidR="008D085E">
        <w:t xml:space="preserve"> </w:t>
      </w:r>
    </w:p>
    <w:p w14:paraId="26E35270" w14:textId="6088A9B0" w:rsidR="008A7B9F" w:rsidRDefault="008A7B9F" w:rsidP="008A7B9F">
      <w:pPr>
        <w:pStyle w:val="Brdtext"/>
      </w:pPr>
      <w:r>
        <w:t xml:space="preserve">Bedömningen är att </w:t>
      </w:r>
      <w:r w:rsidR="00A745F2">
        <w:t xml:space="preserve">det hittillsvarande </w:t>
      </w:r>
      <w:r>
        <w:t xml:space="preserve">slutmålet för 2029 på 91 439 deltagare kommer att uppnås. </w:t>
      </w:r>
      <w:r w:rsidR="00A745F2">
        <w:t xml:space="preserve">Med </w:t>
      </w:r>
      <w:r w:rsidR="00A745F2" w:rsidRPr="00FC1B97">
        <w:t xml:space="preserve">anledning av </w:t>
      </w:r>
      <w:r w:rsidR="00265BED" w:rsidRPr="00FC1B97">
        <w:t xml:space="preserve">justerad </w:t>
      </w:r>
      <w:r w:rsidR="00A745F2" w:rsidRPr="00FC1B97">
        <w:t>valutakurs föreslår</w:t>
      </w:r>
      <w:r w:rsidR="00A745F2">
        <w:t xml:space="preserve"> regeringen </w:t>
      </w:r>
      <w:r w:rsidR="00220359">
        <w:t xml:space="preserve">att </w:t>
      </w:r>
      <w:r w:rsidR="00A745F2">
        <w:t xml:space="preserve">slutmålet ökas till </w:t>
      </w:r>
      <w:r w:rsidR="00220359">
        <w:t>103 </w:t>
      </w:r>
      <w:r w:rsidR="00952C7A">
        <w:t>238</w:t>
      </w:r>
      <w:r w:rsidR="00220359">
        <w:t xml:space="preserve"> d</w:t>
      </w:r>
      <w:r w:rsidR="00A745F2">
        <w:t>eltagare. Bedömningen är att detta mål kan uppnås</w:t>
      </w:r>
      <w:r w:rsidR="00952C7A">
        <w:t xml:space="preserve">. </w:t>
      </w:r>
      <w:r w:rsidR="00A745F2">
        <w:t xml:space="preserve">  </w:t>
      </w:r>
    </w:p>
    <w:p w14:paraId="04CBB44B" w14:textId="77777777" w:rsidR="00033045" w:rsidRPr="00B44C1E" w:rsidRDefault="00033045" w:rsidP="00B44C1E">
      <w:pPr>
        <w:pStyle w:val="Rubrik5utannumrering"/>
      </w:pPr>
      <w:r w:rsidRPr="00B44C1E">
        <w:t xml:space="preserve">Övergångsregion (Norra Mellansverige) </w:t>
      </w:r>
    </w:p>
    <w:p w14:paraId="1AF0A59D" w14:textId="29BF4646" w:rsidR="005453E4" w:rsidRPr="00445693" w:rsidRDefault="005453E4" w:rsidP="005453E4">
      <w:pPr>
        <w:pStyle w:val="Brdtext"/>
        <w:rPr>
          <w:i/>
          <w:iCs/>
        </w:rPr>
      </w:pPr>
      <w:r w:rsidRPr="003C1A9A">
        <w:t>I övergångsregion</w:t>
      </w:r>
      <w:r w:rsidR="00C92993">
        <w:t xml:space="preserve"> Norra Mellansverige </w:t>
      </w:r>
      <w:r w:rsidRPr="003C1A9A">
        <w:t xml:space="preserve">har projektutlysningarna utöver </w:t>
      </w:r>
      <w:r w:rsidR="003C1A9A" w:rsidRPr="003C1A9A">
        <w:t xml:space="preserve">tidigare nämnda satsningar för små- och medelstora företag även haft </w:t>
      </w:r>
      <w:r w:rsidRPr="003C1A9A">
        <w:t xml:space="preserve">en särskild inriktning </w:t>
      </w:r>
      <w:r w:rsidR="005A035F">
        <w:t xml:space="preserve">på </w:t>
      </w:r>
      <w:r w:rsidR="00025B22">
        <w:t>kompetensutveckling av anställda och</w:t>
      </w:r>
      <w:r w:rsidRPr="003C1A9A">
        <w:t xml:space="preserve"> </w:t>
      </w:r>
      <w:r w:rsidR="003C1A9A" w:rsidRPr="003C1A9A">
        <w:t xml:space="preserve">privata utförare i kommunal verksamhet. </w:t>
      </w:r>
      <w:r w:rsidRPr="003C1A9A">
        <w:rPr>
          <w:i/>
          <w:iCs/>
        </w:rPr>
        <w:t xml:space="preserve"> </w:t>
      </w:r>
    </w:p>
    <w:p w14:paraId="1D0E3BEC" w14:textId="77777777" w:rsidR="005453E4" w:rsidRDefault="005453E4" w:rsidP="005453E4">
      <w:pPr>
        <w:pStyle w:val="Brdtext"/>
      </w:pPr>
      <w:r w:rsidRPr="00B830AE">
        <w:rPr>
          <w:b/>
          <w:bCs/>
        </w:rPr>
        <w:t>Delmål per 2024:</w:t>
      </w:r>
      <w:r>
        <w:t xml:space="preserve"> 2 576 deltagare (anställda, </w:t>
      </w:r>
      <w:proofErr w:type="gramStart"/>
      <w:r>
        <w:t>inbegripet egenföretagare</w:t>
      </w:r>
      <w:proofErr w:type="gramEnd"/>
      <w:r>
        <w:t xml:space="preserve">)   </w:t>
      </w:r>
    </w:p>
    <w:p w14:paraId="461D95F0" w14:textId="691FF46E" w:rsidR="005453E4" w:rsidRDefault="005453E4" w:rsidP="005453E4">
      <w:pPr>
        <w:pStyle w:val="Brdtext"/>
      </w:pPr>
      <w:r w:rsidRPr="00B830AE">
        <w:rPr>
          <w:b/>
          <w:bCs/>
        </w:rPr>
        <w:t xml:space="preserve">Uppnått per 2024: </w:t>
      </w:r>
      <w:r w:rsidR="00A476E7">
        <w:t>9</w:t>
      </w:r>
      <w:r w:rsidR="002D4545">
        <w:t>8</w:t>
      </w:r>
      <w:r w:rsidR="00A476E7">
        <w:t xml:space="preserve"> </w:t>
      </w:r>
      <w:r w:rsidR="002D4545">
        <w:t>procent</w:t>
      </w:r>
      <w:r w:rsidR="00D626E0">
        <w:t xml:space="preserve"> (2 531 deltagare) </w:t>
      </w:r>
      <w:r>
        <w:t xml:space="preserve"> </w:t>
      </w:r>
    </w:p>
    <w:p w14:paraId="59F85D60" w14:textId="41CFB218" w:rsidR="00EE5230" w:rsidRPr="002261C1" w:rsidRDefault="005453E4" w:rsidP="00533CC5">
      <w:pPr>
        <w:pStyle w:val="Brdtext"/>
      </w:pPr>
      <w:r w:rsidRPr="00445693">
        <w:lastRenderedPageBreak/>
        <w:t xml:space="preserve">Delmålet </w:t>
      </w:r>
      <w:r w:rsidRPr="00D35ED3">
        <w:t>har uppnåtts</w:t>
      </w:r>
      <w:r w:rsidR="00D26F57" w:rsidRPr="00D35ED3">
        <w:t xml:space="preserve"> i </w:t>
      </w:r>
      <w:r w:rsidR="00482EED" w:rsidRPr="00D35ED3">
        <w:t>det närmaste</w:t>
      </w:r>
      <w:r w:rsidR="00A21412" w:rsidRPr="00D35ED3">
        <w:t xml:space="preserve"> trots</w:t>
      </w:r>
      <w:r w:rsidR="00A21412">
        <w:t xml:space="preserve"> en försenad start och en inledningsvis låg efterfrågan. </w:t>
      </w:r>
      <w:r w:rsidR="00EE5230">
        <w:t>Bedömningen är att slutmålet om 8</w:t>
      </w:r>
      <w:r w:rsidR="00CF5296">
        <w:t> </w:t>
      </w:r>
      <w:r w:rsidR="00EE5230">
        <w:t>58</w:t>
      </w:r>
      <w:r w:rsidR="0083441E">
        <w:t>7</w:t>
      </w:r>
      <w:r w:rsidR="00CF5296">
        <w:t> </w:t>
      </w:r>
      <w:r w:rsidR="00EE5230">
        <w:t>deltagare kan uppnås</w:t>
      </w:r>
      <w:bookmarkStart w:id="7" w:name="_Hlk188439993"/>
      <w:r w:rsidR="00B44C1E">
        <w:t>, liksom</w:t>
      </w:r>
      <w:r w:rsidR="00220359">
        <w:t xml:space="preserve"> </w:t>
      </w:r>
      <w:r w:rsidR="00B44C1E">
        <w:t>ett</w:t>
      </w:r>
      <w:r w:rsidR="00220359">
        <w:t xml:space="preserve"> </w:t>
      </w:r>
      <w:r w:rsidR="00B44C1E">
        <w:t>uppräknat</w:t>
      </w:r>
      <w:r w:rsidR="00220359">
        <w:t xml:space="preserve"> slutmål </w:t>
      </w:r>
      <w:r w:rsidR="00B44C1E">
        <w:t>om</w:t>
      </w:r>
      <w:r w:rsidR="00220359">
        <w:t xml:space="preserve"> </w:t>
      </w:r>
      <w:r w:rsidR="001836DD">
        <w:t>9 695</w:t>
      </w:r>
      <w:r w:rsidR="00220359">
        <w:t xml:space="preserve"> deltagare</w:t>
      </w:r>
      <w:r w:rsidR="00B44C1E">
        <w:t xml:space="preserve"> med anledning av justerad valutakurs</w:t>
      </w:r>
      <w:bookmarkEnd w:id="7"/>
      <w:r w:rsidR="00220359">
        <w:t xml:space="preserve">. </w:t>
      </w:r>
      <w:r w:rsidR="00EE5230">
        <w:t xml:space="preserve"> </w:t>
      </w:r>
    </w:p>
    <w:p w14:paraId="55FAF98B" w14:textId="1F7FF184" w:rsidR="00BB1F1B" w:rsidRDefault="00BB1F1B" w:rsidP="00BB1F1B">
      <w:pPr>
        <w:pStyle w:val="Rubrik3utannumrering"/>
      </w:pPr>
      <w:r>
        <w:t xml:space="preserve">Programområde A2 Öka möjligheten till ett inkluderande och hållbart arbetsliv för alla  </w:t>
      </w:r>
    </w:p>
    <w:p w14:paraId="5E46ECDE" w14:textId="69A21BB9" w:rsidR="00640915" w:rsidRPr="009566C5" w:rsidRDefault="00640915" w:rsidP="00640915">
      <w:pPr>
        <w:pStyle w:val="Brdtext"/>
        <w:rPr>
          <w:i/>
          <w:iCs/>
        </w:rPr>
      </w:pPr>
      <w:r w:rsidRPr="002261C1">
        <w:t>I</w:t>
      </w:r>
      <w:r w:rsidRPr="004C2D89">
        <w:t>no</w:t>
      </w:r>
      <w:r>
        <w:t>m p</w:t>
      </w:r>
      <w:r w:rsidR="008C0C53">
        <w:t xml:space="preserve">rogramområde </w:t>
      </w:r>
      <w:r>
        <w:t>A2 ska insatserna riktas till individer som står utanför arbetsmarknaden på grund av arbetslöshet. Insatser riktas också till de som ännu inte etablerat sig på arbetsmarknaden, inklu</w:t>
      </w:r>
      <w:r w:rsidR="004604F9">
        <w:t xml:space="preserve">sive </w:t>
      </w:r>
      <w:r>
        <w:t>unga från 13 års ålder</w:t>
      </w:r>
      <w:r w:rsidR="004604F9">
        <w:t xml:space="preserve">. </w:t>
      </w:r>
      <w:r w:rsidR="000C177F" w:rsidRPr="009566C5">
        <w:t xml:space="preserve">Insatserna kan i dessa syften också innebära att utveckla organisationer och strukturer. </w:t>
      </w:r>
      <w:r w:rsidR="00D16EA2" w:rsidRPr="009566C5">
        <w:t xml:space="preserve"> </w:t>
      </w:r>
    </w:p>
    <w:p w14:paraId="7507A854" w14:textId="47BDBEA3" w:rsidR="00615AF5" w:rsidRPr="009566C5" w:rsidRDefault="00640915" w:rsidP="004E2147">
      <w:pPr>
        <w:pStyle w:val="Brdtext"/>
      </w:pPr>
      <w:r w:rsidRPr="009566C5">
        <w:t>Vid tidpunkten för programstarten rådde en osäkerhet kring arbetsmarknadsinsatser</w:t>
      </w:r>
      <w:r w:rsidR="00197A74" w:rsidRPr="009566C5">
        <w:t>na</w:t>
      </w:r>
      <w:r w:rsidRPr="009566C5">
        <w:t xml:space="preserve"> då Arbetsförmedlingen var under reformering. Mot den bakgrunden prioriterades </w:t>
      </w:r>
      <w:r w:rsidR="00BE308D" w:rsidRPr="009566C5">
        <w:t xml:space="preserve">inledningsvis projektutlysningar avseende satsningar för </w:t>
      </w:r>
      <w:r w:rsidRPr="009566C5">
        <w:t xml:space="preserve">ungdomar från 13 års ålder </w:t>
      </w:r>
      <w:r w:rsidR="00C75269" w:rsidRPr="009566C5">
        <w:t xml:space="preserve">för att </w:t>
      </w:r>
      <w:r w:rsidR="00944036" w:rsidRPr="009566C5">
        <w:t xml:space="preserve">förebygga skolavbrott och stärka individers möjlighet att fullfölja gymnasiestudier </w:t>
      </w:r>
      <w:proofErr w:type="gramStart"/>
      <w:r w:rsidR="00944036" w:rsidRPr="009566C5">
        <w:t>m.m.</w:t>
      </w:r>
      <w:proofErr w:type="gramEnd"/>
      <w:r w:rsidR="00944036" w:rsidRPr="009566C5">
        <w:t xml:space="preserve"> (</w:t>
      </w:r>
      <w:r w:rsidR="00944036" w:rsidRPr="00FA2E3F">
        <w:t>skolprojekten)</w:t>
      </w:r>
      <w:r w:rsidR="00615AF5" w:rsidRPr="009566C5">
        <w:t>. Till grund för flera av dessa utlysningar låg en studie</w:t>
      </w:r>
      <w:r w:rsidR="001257F6" w:rsidRPr="009566C5">
        <w:rPr>
          <w:rStyle w:val="Fotnotsreferens"/>
        </w:rPr>
        <w:footnoteReference w:id="18"/>
      </w:r>
      <w:r w:rsidR="00615AF5" w:rsidRPr="009566C5">
        <w:t xml:space="preserve"> av förebyggande insatser </w:t>
      </w:r>
      <w:r w:rsidR="007F3C21" w:rsidRPr="009566C5">
        <w:t xml:space="preserve">mot studieavbrott inom socialfondsprogrammet 2014–2020. </w:t>
      </w:r>
      <w:r w:rsidR="00615AF5" w:rsidRPr="009566C5">
        <w:t xml:space="preserve"> </w:t>
      </w:r>
    </w:p>
    <w:p w14:paraId="7D5A6519" w14:textId="0116FD5A" w:rsidR="00A476E7" w:rsidRPr="00A476E7" w:rsidRDefault="00640915" w:rsidP="00A476E7">
      <w:pPr>
        <w:pStyle w:val="Brdtext"/>
      </w:pPr>
      <w:r w:rsidRPr="00AC06D7">
        <w:t>Projektutlysningarna har därefter haft en bred inriktning</w:t>
      </w:r>
      <w:r w:rsidR="00BE308D">
        <w:t>.</w:t>
      </w:r>
      <w:r w:rsidR="00A476E7">
        <w:t xml:space="preserve"> </w:t>
      </w:r>
      <w:r w:rsidR="00A476E7" w:rsidRPr="00A476E7">
        <w:t xml:space="preserve">Det kan särskilt nämnas att Östra Mellansverige även har gjort en utlysning med inriktning på att öka möjligheterna för personer med funktionsnedsättning. En liknande satsning har även gjorts i Sydsverige samt i övergångsregionen Norra Mellansverige. </w:t>
      </w:r>
    </w:p>
    <w:p w14:paraId="48FDA20E" w14:textId="42D6EEF9" w:rsidR="00640915" w:rsidRPr="009566C5" w:rsidRDefault="00640915" w:rsidP="00640915">
      <w:pPr>
        <w:pStyle w:val="Brdtext"/>
      </w:pPr>
      <w:r w:rsidRPr="005D1E5F">
        <w:t>Efterfrågan inom programområde</w:t>
      </w:r>
      <w:r w:rsidR="007B4B1F">
        <w:t xml:space="preserve"> A2 </w:t>
      </w:r>
      <w:r w:rsidRPr="005D1E5F">
        <w:t xml:space="preserve">har varit </w:t>
      </w:r>
      <w:r w:rsidR="007B4B1F">
        <w:t xml:space="preserve">hög </w:t>
      </w:r>
      <w:r w:rsidRPr="005D1E5F">
        <w:t xml:space="preserve">speciellt i fråga om </w:t>
      </w:r>
      <w:r w:rsidR="00AF1B15" w:rsidRPr="005D1E5F">
        <w:t xml:space="preserve">satsningar riktade till unga </w:t>
      </w:r>
      <w:r w:rsidR="00AF1B15" w:rsidRPr="009566C5">
        <w:t xml:space="preserve">som varken </w:t>
      </w:r>
      <w:r w:rsidR="007B4B1F" w:rsidRPr="009566C5">
        <w:t xml:space="preserve">studerar eller </w:t>
      </w:r>
      <w:r w:rsidR="00AF1B15" w:rsidRPr="009566C5">
        <w:t xml:space="preserve">arbetar </w:t>
      </w:r>
      <w:r w:rsidR="005D1E5F" w:rsidRPr="009566C5">
        <w:t xml:space="preserve">samt satsningar för att förebygga skolavhopp och stötta elever i åldern 13–16 år. </w:t>
      </w:r>
    </w:p>
    <w:p w14:paraId="5C37580B" w14:textId="1F2466B9" w:rsidR="00B62B5F" w:rsidRPr="007C5BAF" w:rsidRDefault="00C75269" w:rsidP="00B62B5F">
      <w:pPr>
        <w:pStyle w:val="Brdtext"/>
        <w:rPr>
          <w:i/>
          <w:iCs/>
        </w:rPr>
      </w:pPr>
      <w:r w:rsidRPr="009566C5">
        <w:t>I programmet tillämpas in</w:t>
      </w:r>
      <w:r w:rsidR="00581932" w:rsidRPr="009566C5">
        <w:t xml:space="preserve">te </w:t>
      </w:r>
      <w:r w:rsidRPr="009566C5">
        <w:t>indikator</w:t>
      </w:r>
      <w:r w:rsidR="00581932" w:rsidRPr="009566C5">
        <w:t>er</w:t>
      </w:r>
      <w:r w:rsidRPr="009566C5">
        <w:t xml:space="preserve"> </w:t>
      </w:r>
      <w:r w:rsidR="00581932" w:rsidRPr="009566C5">
        <w:t xml:space="preserve">och </w:t>
      </w:r>
      <w:r w:rsidR="00025149" w:rsidRPr="009566C5">
        <w:t xml:space="preserve">mål </w:t>
      </w:r>
      <w:r w:rsidRPr="009566C5">
        <w:t>för antalet</w:t>
      </w:r>
      <w:r w:rsidRPr="00267B50">
        <w:t xml:space="preserve"> </w:t>
      </w:r>
      <w:r w:rsidRPr="00C55883">
        <w:t xml:space="preserve">deltagare i projekt för barn och unga i skolprojekten. </w:t>
      </w:r>
      <w:r w:rsidR="00AA6957" w:rsidRPr="00C55883">
        <w:t xml:space="preserve">Men </w:t>
      </w:r>
      <w:r w:rsidR="004C73DC" w:rsidRPr="00C55883">
        <w:t xml:space="preserve">som en komplettering lämnas även information om </w:t>
      </w:r>
      <w:r w:rsidR="00445F5E">
        <w:t xml:space="preserve">antalet individer </w:t>
      </w:r>
      <w:r w:rsidR="00E11F8F">
        <w:t>(vilk</w:t>
      </w:r>
      <w:r w:rsidR="00E315B0">
        <w:t>et</w:t>
      </w:r>
      <w:r w:rsidR="00E11F8F">
        <w:t xml:space="preserve"> </w:t>
      </w:r>
      <w:r w:rsidR="00E315B0">
        <w:t xml:space="preserve">redovisas </w:t>
      </w:r>
      <w:r w:rsidR="00E11F8F">
        <w:t>fortlöpande</w:t>
      </w:r>
      <w:r w:rsidR="009916D4">
        <w:t xml:space="preserve"> inom programmet</w:t>
      </w:r>
      <w:r w:rsidR="00E11F8F">
        <w:t>)</w:t>
      </w:r>
      <w:r w:rsidR="007A04FB">
        <w:t xml:space="preserve"> </w:t>
      </w:r>
      <w:r w:rsidR="004C73DC" w:rsidRPr="00C55883">
        <w:t xml:space="preserve">i det följande. </w:t>
      </w:r>
    </w:p>
    <w:p w14:paraId="53EA4EF1" w14:textId="02F4F9EB" w:rsidR="00B62B5F" w:rsidRPr="00950E14" w:rsidRDefault="00B62B5F" w:rsidP="00B62B5F">
      <w:pPr>
        <w:pStyle w:val="Brdtext"/>
      </w:pPr>
      <w:r w:rsidRPr="00950E14">
        <w:lastRenderedPageBreak/>
        <w:t>Sedan programstarten t.o</w:t>
      </w:r>
      <w:r w:rsidR="00574CFB">
        <w:t>.</w:t>
      </w:r>
      <w:r w:rsidRPr="00950E14">
        <w:t xml:space="preserve">m. 2024 har </w:t>
      </w:r>
      <w:r w:rsidRPr="00EE6E46">
        <w:t>totalt 50 utlysningar</w:t>
      </w:r>
      <w:r w:rsidRPr="00950E14">
        <w:t xml:space="preserve"> publicerats</w:t>
      </w:r>
      <w:r w:rsidR="00A7312B">
        <w:t xml:space="preserve"> inom programområde A2</w:t>
      </w:r>
      <w:r w:rsidR="00EE6E11">
        <w:t>,</w:t>
      </w:r>
      <w:r w:rsidRPr="00950E14">
        <w:t xml:space="preserve"> varav 44 avser tillämpningsprojekt, fem avser förstudier och e</w:t>
      </w:r>
      <w:r w:rsidR="00BC0CB6" w:rsidRPr="00950E14">
        <w:t>n</w:t>
      </w:r>
      <w:r w:rsidRPr="00950E14">
        <w:t xml:space="preserve"> </w:t>
      </w:r>
      <w:r w:rsidR="00BC0CB6" w:rsidRPr="00950E14">
        <w:t xml:space="preserve">avser </w:t>
      </w:r>
      <w:r w:rsidRPr="00950E14">
        <w:t xml:space="preserve">metodutvecklingsprojekt. </w:t>
      </w:r>
    </w:p>
    <w:p w14:paraId="2780D18B" w14:textId="178AB7C8" w:rsidR="00197A74" w:rsidRPr="008A7B9F" w:rsidRDefault="00197A74" w:rsidP="00B44C1E">
      <w:pPr>
        <w:pStyle w:val="Rubrik5utannumrering"/>
        <w:rPr>
          <w:rFonts w:asciiTheme="minorHAnsi" w:eastAsiaTheme="minorHAnsi" w:hAnsiTheme="minorHAnsi" w:cstheme="minorBidi"/>
          <w:b/>
          <w:i/>
          <w:sz w:val="25"/>
        </w:rPr>
      </w:pPr>
      <w:r w:rsidRPr="00B44C1E">
        <w:t xml:space="preserve">Mer utvecklade regioner </w:t>
      </w:r>
    </w:p>
    <w:p w14:paraId="6B013D7D" w14:textId="77777777" w:rsidR="00D10AE6" w:rsidRDefault="00D10AE6" w:rsidP="00D10AE6">
      <w:pPr>
        <w:pStyle w:val="Brdtext"/>
      </w:pPr>
      <w:r w:rsidRPr="00D10AE6">
        <w:rPr>
          <w:b/>
          <w:bCs/>
        </w:rPr>
        <w:t>Delmål per 2024:</w:t>
      </w:r>
      <w:r>
        <w:t xml:space="preserve">  14 225 deltagare (arbetslösa, inklusive långtidsarbetslösa)    </w:t>
      </w:r>
    </w:p>
    <w:p w14:paraId="29A0D52E" w14:textId="2392D705" w:rsidR="00D10AE6" w:rsidRPr="00950E14" w:rsidRDefault="00D10AE6" w:rsidP="00D10AE6">
      <w:pPr>
        <w:pStyle w:val="Brdtext"/>
      </w:pPr>
      <w:r w:rsidRPr="00D10AE6">
        <w:rPr>
          <w:b/>
          <w:bCs/>
        </w:rPr>
        <w:t>Uppnått per 2024:</w:t>
      </w:r>
      <w:r>
        <w:t xml:space="preserve"> </w:t>
      </w:r>
      <w:r w:rsidR="00A476E7">
        <w:t>8</w:t>
      </w:r>
      <w:r w:rsidR="00056A7D">
        <w:t>7</w:t>
      </w:r>
      <w:r w:rsidRPr="00950E14">
        <w:t xml:space="preserve"> </w:t>
      </w:r>
      <w:r w:rsidR="00EE6E46">
        <w:t>procent</w:t>
      </w:r>
      <w:r w:rsidRPr="00950E14">
        <w:t xml:space="preserve"> </w:t>
      </w:r>
      <w:r w:rsidR="00D626E0">
        <w:t>(12 396 deltagare)</w:t>
      </w:r>
    </w:p>
    <w:p w14:paraId="1A1F076D" w14:textId="7DA3B0B9" w:rsidR="00D10AE6" w:rsidRPr="00950E14" w:rsidRDefault="00D10AE6" w:rsidP="00D10AE6">
      <w:pPr>
        <w:pStyle w:val="Brdtext"/>
      </w:pPr>
      <w:r w:rsidRPr="00950E14">
        <w:t xml:space="preserve">Delmålet har inte uppnåtts. </w:t>
      </w:r>
      <w:r w:rsidR="005D1E5F" w:rsidRPr="00950E14">
        <w:t>Här bör dock nämnas att skolprojekten har omfattat</w:t>
      </w:r>
      <w:r w:rsidR="00615AF5" w:rsidRPr="00950E14">
        <w:t xml:space="preserve"> 9 </w:t>
      </w:r>
      <w:r w:rsidR="00544AE2">
        <w:t>7</w:t>
      </w:r>
      <w:r w:rsidR="00F72842">
        <w:t>00</w:t>
      </w:r>
      <w:r w:rsidR="005D1E5F" w:rsidRPr="00950E14">
        <w:t xml:space="preserve"> unga från 13 år</w:t>
      </w:r>
      <w:r w:rsidR="00863C9A">
        <w:t xml:space="preserve"> (vilka inte ingår i </w:t>
      </w:r>
      <w:r w:rsidR="00C60118">
        <w:t>delmålet)</w:t>
      </w:r>
      <w:r w:rsidR="005D1E5F" w:rsidRPr="00950E14">
        <w:t xml:space="preserve">. </w:t>
      </w:r>
      <w:r w:rsidRPr="00950E14">
        <w:t xml:space="preserve">Det finns </w:t>
      </w:r>
      <w:r w:rsidR="00C60118">
        <w:t xml:space="preserve">vidare </w:t>
      </w:r>
      <w:r w:rsidRPr="00950E14">
        <w:t xml:space="preserve">en relativt stor variation </w:t>
      </w:r>
      <w:r w:rsidR="00890C53">
        <w:t xml:space="preserve">i efterfrågan </w:t>
      </w:r>
      <w:r w:rsidRPr="00950E14">
        <w:t>mellan olika regioner</w:t>
      </w:r>
      <w:r w:rsidR="005D1E5F" w:rsidRPr="00950E14">
        <w:t xml:space="preserve"> och </w:t>
      </w:r>
      <w:r w:rsidR="00890C53">
        <w:t xml:space="preserve">mellan </w:t>
      </w:r>
      <w:r w:rsidR="005D1E5F" w:rsidRPr="00950E14">
        <w:t>nationell</w:t>
      </w:r>
      <w:r w:rsidR="00890C53">
        <w:t>a</w:t>
      </w:r>
      <w:r w:rsidR="003C5035">
        <w:t xml:space="preserve"> u</w:t>
      </w:r>
      <w:r w:rsidR="00A46E68">
        <w:t>t</w:t>
      </w:r>
      <w:r w:rsidR="003C5035">
        <w:t>lysningar</w:t>
      </w:r>
      <w:r w:rsidR="005D1E5F" w:rsidRPr="00950E14">
        <w:t xml:space="preserve">. </w:t>
      </w:r>
      <w:r w:rsidR="00016615">
        <w:t xml:space="preserve">I regioner med hög måluppfyllelse finns en </w:t>
      </w:r>
      <w:r w:rsidR="00874C49">
        <w:t>särskil</w:t>
      </w:r>
      <w:r w:rsidR="002B0ABC">
        <w:t>t</w:t>
      </w:r>
      <w:r w:rsidR="00874C49">
        <w:t xml:space="preserve"> </w:t>
      </w:r>
      <w:r w:rsidR="00016615">
        <w:t>god kunskap hos olika aktörer om möjligheterna till arbetsmarknadsinsatser</w:t>
      </w:r>
      <w:r w:rsidR="006E78BC">
        <w:t xml:space="preserve"> inom programmet</w:t>
      </w:r>
      <w:r w:rsidR="00056A7D">
        <w:t xml:space="preserve"> för ESF+</w:t>
      </w:r>
      <w:r w:rsidR="006E78BC">
        <w:t xml:space="preserve">. </w:t>
      </w:r>
      <w:r w:rsidR="00016615">
        <w:t xml:space="preserve"> </w:t>
      </w:r>
    </w:p>
    <w:p w14:paraId="00FBC1E7" w14:textId="24F4EFB5" w:rsidR="00A476E7" w:rsidRDefault="00790448" w:rsidP="00D54366">
      <w:pPr>
        <w:pStyle w:val="Brdtext"/>
      </w:pPr>
      <w:r>
        <w:t>Vid programstart</w:t>
      </w:r>
      <w:r w:rsidR="00A476E7">
        <w:t>en</w:t>
      </w:r>
      <w:r>
        <w:t xml:space="preserve"> rådde </w:t>
      </w:r>
      <w:r w:rsidR="00E95567">
        <w:t xml:space="preserve">  </w:t>
      </w:r>
      <w:r>
        <w:t xml:space="preserve">en osäkerhet </w:t>
      </w:r>
      <w:r w:rsidR="00757CC8">
        <w:t xml:space="preserve">med anledning av reformeringen av Arbetsförmedlingen </w:t>
      </w:r>
      <w:r>
        <w:t xml:space="preserve">om huruvida personer inskrivna </w:t>
      </w:r>
      <w:r w:rsidR="00F9505F">
        <w:t xml:space="preserve">på </w:t>
      </w:r>
      <w:r>
        <w:t>Arbetsförmedlingen skulle kunna delta i projekt</w:t>
      </w:r>
      <w:r w:rsidR="00F9505F">
        <w:t xml:space="preserve">en. </w:t>
      </w:r>
      <w:r w:rsidR="00757CC8">
        <w:t xml:space="preserve">Inledningsvis prioriterades därför projektutlysningar avseende </w:t>
      </w:r>
      <w:r>
        <w:t>ung</w:t>
      </w:r>
      <w:r w:rsidR="00757CC8">
        <w:t xml:space="preserve">a </w:t>
      </w:r>
      <w:r>
        <w:t>som riskerade skolavhopp</w:t>
      </w:r>
      <w:r w:rsidR="00F9505F">
        <w:t xml:space="preserve"> </w:t>
      </w:r>
      <w:proofErr w:type="gramStart"/>
      <w:r w:rsidR="00F9505F">
        <w:t>m.m.</w:t>
      </w:r>
      <w:proofErr w:type="gramEnd"/>
      <w:r w:rsidR="00757CC8">
        <w:t xml:space="preserve"> Nu </w:t>
      </w:r>
      <w:r>
        <w:t xml:space="preserve">råder en större säkerhet kring vilka insatser som kan genomföras </w:t>
      </w:r>
      <w:r w:rsidR="00757CC8">
        <w:t xml:space="preserve">för </w:t>
      </w:r>
      <w:r>
        <w:t xml:space="preserve">arbetslösa </w:t>
      </w:r>
      <w:r w:rsidR="00757CC8">
        <w:t xml:space="preserve">personer </w:t>
      </w:r>
      <w:r>
        <w:t>inskriv</w:t>
      </w:r>
      <w:r w:rsidR="00757CC8">
        <w:t>na</w:t>
      </w:r>
      <w:r>
        <w:t xml:space="preserve"> på Arbetsförmedlingen</w:t>
      </w:r>
      <w:r w:rsidR="00757CC8">
        <w:t xml:space="preserve">, vilket möjliggjort </w:t>
      </w:r>
      <w:r>
        <w:t xml:space="preserve">fler utlysningar </w:t>
      </w:r>
      <w:r w:rsidR="00757CC8">
        <w:t xml:space="preserve">avseende </w:t>
      </w:r>
      <w:r w:rsidR="00F9505F">
        <w:t>insatser fö</w:t>
      </w:r>
      <w:r w:rsidR="00C92993">
        <w:t>r</w:t>
      </w:r>
      <w:r w:rsidR="0088121F">
        <w:t xml:space="preserve"> </w:t>
      </w:r>
      <w:r w:rsidR="00757CC8">
        <w:t>arbetslösa.</w:t>
      </w:r>
      <w:r>
        <w:t xml:space="preserve"> </w:t>
      </w:r>
      <w:r w:rsidR="00757CC8">
        <w:t xml:space="preserve">Mot den bakgrunden bedöms att </w:t>
      </w:r>
      <w:r w:rsidR="00220359">
        <w:t xml:space="preserve">det nuvarande </w:t>
      </w:r>
      <w:r>
        <w:t xml:space="preserve">slutmålet </w:t>
      </w:r>
      <w:r w:rsidR="00757CC8">
        <w:t xml:space="preserve">på </w:t>
      </w:r>
      <w:r>
        <w:t xml:space="preserve">47 417 deltagare </w:t>
      </w:r>
      <w:r w:rsidR="00B44C1E">
        <w:t xml:space="preserve">bedöms </w:t>
      </w:r>
      <w:r>
        <w:t>kunna uppnås</w:t>
      </w:r>
      <w:r w:rsidR="00B44C1E" w:rsidRPr="00B44C1E">
        <w:t>, lik</w:t>
      </w:r>
      <w:r w:rsidR="00B44C1E">
        <w:t xml:space="preserve">som ett </w:t>
      </w:r>
      <w:r w:rsidR="00B44C1E" w:rsidRPr="00B44C1E">
        <w:t>uppräkn</w:t>
      </w:r>
      <w:r w:rsidR="00B44C1E">
        <w:t xml:space="preserve">at </w:t>
      </w:r>
      <w:r w:rsidR="00B44C1E" w:rsidRPr="00B44C1E">
        <w:t>slutmål</w:t>
      </w:r>
      <w:r w:rsidR="00B44C1E">
        <w:t xml:space="preserve"> om</w:t>
      </w:r>
      <w:r w:rsidR="00B44C1E" w:rsidRPr="00B44C1E">
        <w:t xml:space="preserve"> 53 535 deltagare med anledning av </w:t>
      </w:r>
      <w:r w:rsidR="00BF5691">
        <w:t xml:space="preserve">en </w:t>
      </w:r>
      <w:r w:rsidR="00B44C1E" w:rsidRPr="00B44C1E">
        <w:t>justerad</w:t>
      </w:r>
      <w:r w:rsidR="0046396F">
        <w:t xml:space="preserve"> </w:t>
      </w:r>
      <w:r w:rsidR="00B44C1E" w:rsidRPr="00B44C1E">
        <w:t>valutakurs</w:t>
      </w:r>
      <w:r w:rsidR="00F9505F">
        <w:t xml:space="preserve">. </w:t>
      </w:r>
    </w:p>
    <w:p w14:paraId="133FE6FF" w14:textId="3F79D4CA" w:rsidR="00D10AE6" w:rsidRPr="00B44C1E" w:rsidRDefault="00D10AE6" w:rsidP="00B44C1E">
      <w:pPr>
        <w:pStyle w:val="Rubrik5utannumrering"/>
      </w:pPr>
      <w:r w:rsidRPr="00B44C1E">
        <w:t xml:space="preserve">Övergångsregion (Norra Mellansverige) </w:t>
      </w:r>
    </w:p>
    <w:p w14:paraId="158D8EAB" w14:textId="05B959D7" w:rsidR="00D10AE6" w:rsidRPr="00950E14" w:rsidRDefault="00D10AE6" w:rsidP="00D10AE6">
      <w:pPr>
        <w:pStyle w:val="Brdtext"/>
      </w:pPr>
      <w:r w:rsidRPr="00950E14">
        <w:rPr>
          <w:b/>
          <w:bCs/>
        </w:rPr>
        <w:t>Delmål per 2024:</w:t>
      </w:r>
      <w:r w:rsidRPr="00950E14">
        <w:t xml:space="preserve"> 2 233 deltagare (arbetslösa, inbegripet långtidsarbetslösa) </w:t>
      </w:r>
    </w:p>
    <w:p w14:paraId="72A6FB47" w14:textId="1B4F1EC5" w:rsidR="00D10AE6" w:rsidRPr="00950E14" w:rsidRDefault="00D10AE6" w:rsidP="00D10AE6">
      <w:pPr>
        <w:pStyle w:val="Brdtext"/>
      </w:pPr>
      <w:r w:rsidRPr="00950E14">
        <w:rPr>
          <w:b/>
          <w:bCs/>
        </w:rPr>
        <w:t>Uppnått per 2024:</w:t>
      </w:r>
      <w:r w:rsidRPr="00950E14">
        <w:t xml:space="preserve"> </w:t>
      </w:r>
      <w:r w:rsidR="004814F2">
        <w:t>31</w:t>
      </w:r>
      <w:r w:rsidRPr="00950E14">
        <w:t xml:space="preserve"> </w:t>
      </w:r>
      <w:r w:rsidR="001467F6">
        <w:t>procent</w:t>
      </w:r>
      <w:r w:rsidR="00C8325B" w:rsidRPr="00950E14">
        <w:t xml:space="preserve"> </w:t>
      </w:r>
      <w:r w:rsidR="00D626E0">
        <w:t>(687 deltagare)</w:t>
      </w:r>
    </w:p>
    <w:p w14:paraId="0DC3D385" w14:textId="2D2A0C95" w:rsidR="00BB003B" w:rsidRPr="00950E14" w:rsidRDefault="00D10AE6" w:rsidP="00D10AE6">
      <w:pPr>
        <w:pStyle w:val="Brdtext"/>
        <w:rPr>
          <w:i/>
          <w:iCs/>
        </w:rPr>
      </w:pPr>
      <w:r w:rsidRPr="00950E14">
        <w:t xml:space="preserve">Delmålet har inte uppnåtts. Det förklaras främst av </w:t>
      </w:r>
      <w:r w:rsidR="0052562D" w:rsidRPr="00950E14">
        <w:t xml:space="preserve">att regionen har valt att </w:t>
      </w:r>
      <w:r w:rsidR="00BB003B" w:rsidRPr="00950E14">
        <w:t xml:space="preserve">i första hand </w:t>
      </w:r>
      <w:r w:rsidR="0080239D" w:rsidRPr="00950E14">
        <w:t>prioritera</w:t>
      </w:r>
      <w:r w:rsidRPr="00950E14">
        <w:t xml:space="preserve"> </w:t>
      </w:r>
      <w:r w:rsidR="0080239D" w:rsidRPr="00950E14">
        <w:t>skolprojekt</w:t>
      </w:r>
      <w:r w:rsidR="004872E4">
        <w:t xml:space="preserve"> </w:t>
      </w:r>
      <w:r w:rsidR="00FA2E3F">
        <w:t>(för ungdomar från 13 års ålder)</w:t>
      </w:r>
      <w:r w:rsidRPr="00950E14">
        <w:t xml:space="preserve">. </w:t>
      </w:r>
      <w:r w:rsidR="00D57600" w:rsidRPr="00950E14">
        <w:t>An</w:t>
      </w:r>
      <w:r w:rsidR="0080239D" w:rsidRPr="00950E14">
        <w:t>talet deltagare i dessa pro</w:t>
      </w:r>
      <w:r w:rsidR="00BB003B" w:rsidRPr="00950E14">
        <w:t xml:space="preserve">jekt uppgår t.o.m. 2024 till </w:t>
      </w:r>
      <w:r w:rsidR="00D50FE0" w:rsidRPr="00950E14">
        <w:t xml:space="preserve">5 </w:t>
      </w:r>
      <w:r w:rsidR="001467F6">
        <w:t>4</w:t>
      </w:r>
      <w:r w:rsidR="00D50FE0" w:rsidRPr="00950E14">
        <w:t>00</w:t>
      </w:r>
      <w:r w:rsidR="00BB003B" w:rsidRPr="00950E14">
        <w:t xml:space="preserve">. </w:t>
      </w:r>
      <w:r w:rsidRPr="00950E14">
        <w:t xml:space="preserve">Värt att notera är att </w:t>
      </w:r>
      <w:r w:rsidR="00BB003B" w:rsidRPr="00950E14">
        <w:t xml:space="preserve">detta antal motsvarar </w:t>
      </w:r>
      <w:r w:rsidR="00103639">
        <w:t xml:space="preserve">närmare 240 </w:t>
      </w:r>
      <w:r w:rsidRPr="00950E14">
        <w:t>procent av delmålet</w:t>
      </w:r>
      <w:r w:rsidR="007D1E0A" w:rsidRPr="00950E14">
        <w:t xml:space="preserve"> som avser övriga insatser.</w:t>
      </w:r>
      <w:r w:rsidR="00BB003B" w:rsidRPr="00950E14">
        <w:t xml:space="preserve"> </w:t>
      </w:r>
    </w:p>
    <w:p w14:paraId="37F08047" w14:textId="5E0CC051" w:rsidR="001836DD" w:rsidRDefault="007D1E0A" w:rsidP="00EB12CD">
      <w:pPr>
        <w:pStyle w:val="Brdtext"/>
      </w:pPr>
      <w:r w:rsidRPr="00950E14">
        <w:t xml:space="preserve">Potentiella projektanordnare </w:t>
      </w:r>
      <w:r w:rsidR="00C92993">
        <w:t xml:space="preserve">framför </w:t>
      </w:r>
      <w:r w:rsidRPr="00950E14">
        <w:t xml:space="preserve">ett </w:t>
      </w:r>
      <w:r w:rsidR="00D10AE6" w:rsidRPr="00950E14">
        <w:t>fortsatt stor</w:t>
      </w:r>
      <w:r w:rsidR="00BB003B" w:rsidRPr="00950E14">
        <w:t>t</w:t>
      </w:r>
      <w:r w:rsidR="00D10AE6" w:rsidRPr="00950E14">
        <w:t xml:space="preserve"> behov av skolprojekt.</w:t>
      </w:r>
      <w:r w:rsidRPr="00950E14">
        <w:t xml:space="preserve"> </w:t>
      </w:r>
      <w:r w:rsidR="0029195B" w:rsidRPr="00950E14">
        <w:t>Region</w:t>
      </w:r>
      <w:r w:rsidR="001327C0" w:rsidRPr="00950E14">
        <w:t xml:space="preserve"> Norra Mellansverige </w:t>
      </w:r>
      <w:r w:rsidR="0029195B" w:rsidRPr="00950E14">
        <w:t xml:space="preserve">kommer dock fortsätta </w:t>
      </w:r>
      <w:r w:rsidR="00122734" w:rsidRPr="00950E14">
        <w:t xml:space="preserve">göra </w:t>
      </w:r>
      <w:r w:rsidR="0029195B" w:rsidRPr="00950E14">
        <w:t>utlysningar</w:t>
      </w:r>
      <w:r w:rsidR="00122734" w:rsidRPr="00950E14">
        <w:t xml:space="preserve"> </w:t>
      </w:r>
      <w:r w:rsidR="00122734" w:rsidRPr="00950E14">
        <w:lastRenderedPageBreak/>
        <w:t xml:space="preserve">avseende insatser för arbetslösa. </w:t>
      </w:r>
      <w:r w:rsidR="0029195B" w:rsidRPr="00950E14">
        <w:t xml:space="preserve">En problematik </w:t>
      </w:r>
      <w:r w:rsidR="00BC0CB6" w:rsidRPr="00950E14">
        <w:t xml:space="preserve">har varit </w:t>
      </w:r>
      <w:r w:rsidR="0029195B" w:rsidRPr="00950E14">
        <w:t>att projekt</w:t>
      </w:r>
      <w:r w:rsidR="00BC0CB6" w:rsidRPr="00950E14">
        <w:t>en</w:t>
      </w:r>
      <w:r w:rsidR="0029195B" w:rsidRPr="00950E14">
        <w:t xml:space="preserve"> riktade </w:t>
      </w:r>
      <w:r w:rsidR="00BC0CB6" w:rsidRPr="00950E14">
        <w:t xml:space="preserve">till </w:t>
      </w:r>
      <w:r w:rsidR="0029195B" w:rsidRPr="00950E14">
        <w:t xml:space="preserve">arbetslösa kom </w:t>
      </w:r>
      <w:proofErr w:type="gramStart"/>
      <w:r w:rsidR="0029195B" w:rsidRPr="00950E14">
        <w:t>igång</w:t>
      </w:r>
      <w:proofErr w:type="gramEnd"/>
      <w:r w:rsidR="0029195B" w:rsidRPr="00950E14">
        <w:t xml:space="preserve"> sent</w:t>
      </w:r>
      <w:r w:rsidR="00122734" w:rsidRPr="00950E14">
        <w:t>, vilket har påverkat måluppfyllelsen per 2024</w:t>
      </w:r>
      <w:r w:rsidR="001327C0" w:rsidRPr="00950E14">
        <w:t xml:space="preserve">. </w:t>
      </w:r>
      <w:r w:rsidR="00CD39CD" w:rsidRPr="00950E14">
        <w:t>Bed</w:t>
      </w:r>
      <w:r w:rsidR="00BC0CB6" w:rsidRPr="00950E14">
        <w:t xml:space="preserve">ömningen är </w:t>
      </w:r>
      <w:r w:rsidR="00CD39CD" w:rsidRPr="00950E14">
        <w:t xml:space="preserve">dock </w:t>
      </w:r>
      <w:r w:rsidR="00BC0CB6" w:rsidRPr="00950E14">
        <w:t xml:space="preserve">att </w:t>
      </w:r>
      <w:r w:rsidR="00220359">
        <w:t xml:space="preserve">det hittillsvarande </w:t>
      </w:r>
      <w:r w:rsidR="0029195B" w:rsidRPr="00950E14">
        <w:t xml:space="preserve">slutmålet om 7 444 </w:t>
      </w:r>
      <w:r w:rsidR="00122734" w:rsidRPr="00950E14">
        <w:t>deltagare</w:t>
      </w:r>
      <w:r w:rsidR="0029195B" w:rsidRPr="00950E14">
        <w:t xml:space="preserve"> </w:t>
      </w:r>
      <w:r w:rsidR="00B44C1E">
        <w:t>bedöms</w:t>
      </w:r>
      <w:r w:rsidR="00B44C1E" w:rsidRPr="00950E14">
        <w:t xml:space="preserve"> </w:t>
      </w:r>
      <w:r w:rsidR="0029195B" w:rsidRPr="00950E14">
        <w:t>kunna uppnås</w:t>
      </w:r>
      <w:r w:rsidR="00220359">
        <w:t>, liksom ett uppräknat slutmål om 8</w:t>
      </w:r>
      <w:r w:rsidR="001836DD">
        <w:t> </w:t>
      </w:r>
      <w:r w:rsidR="00220359">
        <w:t>40</w:t>
      </w:r>
      <w:r w:rsidR="001836DD">
        <w:t>4 deltagare</w:t>
      </w:r>
      <w:r w:rsidR="00B44C1E">
        <w:t xml:space="preserve"> med anledning av </w:t>
      </w:r>
      <w:r w:rsidR="00886B25">
        <w:t xml:space="preserve">en </w:t>
      </w:r>
      <w:r w:rsidR="00B44C1E">
        <w:t>justerad valutakurs</w:t>
      </w:r>
      <w:r w:rsidR="001836DD">
        <w:t xml:space="preserve">. </w:t>
      </w:r>
    </w:p>
    <w:p w14:paraId="0A1213B2" w14:textId="77777777" w:rsidR="00954B42" w:rsidRDefault="0043235B" w:rsidP="004336C3">
      <w:pPr>
        <w:pStyle w:val="Brdtext"/>
        <w:rPr>
          <w:rFonts w:asciiTheme="majorHAnsi" w:eastAsiaTheme="majorEastAsia" w:hAnsiTheme="majorHAnsi" w:cstheme="majorBidi"/>
          <w:sz w:val="22"/>
          <w:szCs w:val="24"/>
        </w:rPr>
      </w:pPr>
      <w:r w:rsidRPr="00C462E3">
        <w:rPr>
          <w:rFonts w:asciiTheme="majorHAnsi" w:eastAsiaTheme="majorEastAsia" w:hAnsiTheme="majorHAnsi" w:cstheme="majorBidi"/>
          <w:sz w:val="22"/>
          <w:szCs w:val="24"/>
        </w:rPr>
        <w:t>Programområde B</w:t>
      </w:r>
      <w:r w:rsidR="00C462E3" w:rsidRPr="00C462E3">
        <w:rPr>
          <w:rFonts w:asciiTheme="majorHAnsi" w:eastAsiaTheme="majorEastAsia" w:hAnsiTheme="majorHAnsi" w:cstheme="majorBidi"/>
          <w:sz w:val="22"/>
          <w:szCs w:val="24"/>
        </w:rPr>
        <w:t xml:space="preserve"> </w:t>
      </w:r>
      <w:bookmarkStart w:id="8" w:name="_Hlk188441428"/>
      <w:r w:rsidR="00C462E3" w:rsidRPr="00C462E3">
        <w:rPr>
          <w:rFonts w:asciiTheme="majorHAnsi" w:eastAsiaTheme="majorEastAsia" w:hAnsiTheme="majorHAnsi" w:cstheme="majorBidi"/>
          <w:sz w:val="22"/>
          <w:szCs w:val="24"/>
        </w:rPr>
        <w:t>Öka möjligheten till arbete</w:t>
      </w:r>
      <w:r w:rsidRPr="00C462E3">
        <w:rPr>
          <w:rFonts w:asciiTheme="majorHAnsi" w:eastAsiaTheme="majorEastAsia" w:hAnsiTheme="majorHAnsi" w:cstheme="majorBidi"/>
          <w:sz w:val="22"/>
          <w:szCs w:val="24"/>
        </w:rPr>
        <w:t xml:space="preserve"> </w:t>
      </w:r>
      <w:bookmarkEnd w:id="8"/>
    </w:p>
    <w:p w14:paraId="502FCDFF" w14:textId="71F2C8E6" w:rsidR="00AC7215" w:rsidRDefault="008D085E" w:rsidP="004336C3">
      <w:pPr>
        <w:pStyle w:val="Brdtext"/>
      </w:pPr>
      <w:r w:rsidRPr="00C55883">
        <w:t>Programområde</w:t>
      </w:r>
      <w:r w:rsidR="00AC7215">
        <w:t xml:space="preserve"> B</w:t>
      </w:r>
      <w:r w:rsidRPr="00C55883">
        <w:t xml:space="preserve"> omfattar insatser för personer som står långt från arbetsmarknaden och implementeras av Arbetsförmedlingen genom fristående aktörer. Insatserna (matchande och rustande insatser) syftar till att främja övergång till arbete eller studier. </w:t>
      </w:r>
    </w:p>
    <w:p w14:paraId="7538BE1B" w14:textId="4C011146" w:rsidR="00AC7215" w:rsidRPr="00950E14" w:rsidRDefault="008D085E" w:rsidP="004336C3">
      <w:pPr>
        <w:pStyle w:val="Brdtext"/>
      </w:pPr>
      <w:r w:rsidRPr="00950E14">
        <w:t>Insatserna kom i</w:t>
      </w:r>
      <w:r w:rsidR="00FA2E3F">
        <w:t xml:space="preserve"> </w:t>
      </w:r>
      <w:r w:rsidRPr="00950E14">
        <w:t xml:space="preserve">gång </w:t>
      </w:r>
      <w:r w:rsidR="004336C3" w:rsidRPr="00950E14">
        <w:t xml:space="preserve">i september 2023 i projektet </w:t>
      </w:r>
      <w:proofErr w:type="spellStart"/>
      <w:r w:rsidR="004336C3" w:rsidRPr="00950E14">
        <w:t>Onward</w:t>
      </w:r>
      <w:proofErr w:type="spellEnd"/>
      <w:r w:rsidR="00AC7215" w:rsidRPr="00950E14">
        <w:t xml:space="preserve"> ESF+</w:t>
      </w:r>
      <w:r w:rsidR="004336C3" w:rsidRPr="00950E14">
        <w:t xml:space="preserve">. </w:t>
      </w:r>
      <w:r w:rsidR="00026867" w:rsidRPr="00950E14">
        <w:t>Projektet syftar ti</w:t>
      </w:r>
      <w:r w:rsidR="004336C3" w:rsidRPr="00950E14">
        <w:t>ll att stärka övergångarna till arbete och studier</w:t>
      </w:r>
      <w:r w:rsidR="00026867" w:rsidRPr="00950E14">
        <w:t>. I</w:t>
      </w:r>
      <w:r w:rsidR="004336C3" w:rsidRPr="00950E14">
        <w:t>nsatser</w:t>
      </w:r>
      <w:r w:rsidR="00026867" w:rsidRPr="00950E14">
        <w:t>na</w:t>
      </w:r>
      <w:r w:rsidR="004336C3" w:rsidRPr="00950E14">
        <w:t xml:space="preserve"> tillhandahålls via fristående aktörer i form av upphandlade tjänster och bidrar till att förhindra och bryta långtidsarbetslöshet. Projektet </w:t>
      </w:r>
      <w:r w:rsidR="00026867" w:rsidRPr="00950E14">
        <w:t xml:space="preserve">riktar sig </w:t>
      </w:r>
      <w:r w:rsidR="00F96CB2" w:rsidRPr="00950E14">
        <w:t xml:space="preserve">till </w:t>
      </w:r>
      <w:r w:rsidR="00026867" w:rsidRPr="00950E14">
        <w:t xml:space="preserve">personer </w:t>
      </w:r>
      <w:r w:rsidR="004336C3" w:rsidRPr="00950E14">
        <w:t xml:space="preserve">inskrivna på Arbetsförmedlingen som </w:t>
      </w:r>
      <w:r w:rsidR="00026867" w:rsidRPr="00950E14">
        <w:t xml:space="preserve">står </w:t>
      </w:r>
      <w:r w:rsidR="004336C3" w:rsidRPr="00950E14">
        <w:t xml:space="preserve">långt ifrån arbetsmarknaden och som är i behov av rustande och matchande insatser. Insatserna förväntas leda till att fler </w:t>
      </w:r>
      <w:r w:rsidR="00026867" w:rsidRPr="00950E14">
        <w:t xml:space="preserve">personer </w:t>
      </w:r>
      <w:r w:rsidR="004336C3" w:rsidRPr="00950E14">
        <w:t xml:space="preserve">får stöd att möta arbetsmarknadens behov. </w:t>
      </w:r>
    </w:p>
    <w:p w14:paraId="533E6058" w14:textId="17039044" w:rsidR="004336C3" w:rsidRPr="00045B5C" w:rsidRDefault="004336C3" w:rsidP="004336C3">
      <w:pPr>
        <w:pStyle w:val="Brdtext"/>
      </w:pPr>
      <w:r w:rsidRPr="00950E14">
        <w:t>Det har sedan program</w:t>
      </w:r>
      <w:r w:rsidR="00AC7215" w:rsidRPr="00950E14">
        <w:t xml:space="preserve">starten </w:t>
      </w:r>
      <w:r w:rsidRPr="00950E14">
        <w:t xml:space="preserve">publicerats två </w:t>
      </w:r>
      <w:r w:rsidR="00AC7215" w:rsidRPr="00950E14">
        <w:t>projekt</w:t>
      </w:r>
      <w:r w:rsidRPr="00950E14">
        <w:t>utlysningar</w:t>
      </w:r>
      <w:r w:rsidR="00AC7215" w:rsidRPr="00950E14">
        <w:t xml:space="preserve"> (tillämpningsprojekt)</w:t>
      </w:r>
      <w:r w:rsidR="00026867" w:rsidRPr="00950E14">
        <w:t xml:space="preserve"> inom programområde B</w:t>
      </w:r>
      <w:r w:rsidR="00AC7215" w:rsidRPr="00950E14">
        <w:t xml:space="preserve">, vilka </w:t>
      </w:r>
      <w:r w:rsidR="00026867" w:rsidRPr="00950E14">
        <w:t xml:space="preserve">alltså </w:t>
      </w:r>
      <w:r w:rsidR="00AC7215" w:rsidRPr="00950E14">
        <w:t xml:space="preserve">har varit </w:t>
      </w:r>
      <w:r w:rsidRPr="00950E14">
        <w:t xml:space="preserve">sökbara </w:t>
      </w:r>
      <w:r w:rsidR="00AC7215" w:rsidRPr="00950E14">
        <w:t xml:space="preserve">enbart </w:t>
      </w:r>
      <w:r w:rsidRPr="00950E14">
        <w:t>av Arbetsförmedlingen</w:t>
      </w:r>
      <w:r w:rsidRPr="00045B5C">
        <w:t>.</w:t>
      </w:r>
    </w:p>
    <w:p w14:paraId="13687714" w14:textId="77777777" w:rsidR="008D085E" w:rsidRPr="0027283E" w:rsidRDefault="008D085E" w:rsidP="008D085E">
      <w:pPr>
        <w:pStyle w:val="Brdtext"/>
      </w:pPr>
      <w:r w:rsidRPr="002261C1">
        <w:rPr>
          <w:b/>
          <w:bCs/>
        </w:rPr>
        <w:t>Delmål per 2024</w:t>
      </w:r>
      <w:r w:rsidRPr="0027283E">
        <w:t xml:space="preserve">: 9 061 deltagare (arbetslösa, inklusive långtidsarbetslösa)    </w:t>
      </w:r>
    </w:p>
    <w:p w14:paraId="29AD0259" w14:textId="2577C045" w:rsidR="008D085E" w:rsidRPr="0027283E" w:rsidRDefault="008D085E" w:rsidP="008D085E">
      <w:pPr>
        <w:pStyle w:val="Brdtext"/>
      </w:pPr>
      <w:r w:rsidRPr="002261C1">
        <w:rPr>
          <w:b/>
          <w:bCs/>
        </w:rPr>
        <w:t>Uppnått per 2024:</w:t>
      </w:r>
      <w:r w:rsidRPr="0027283E">
        <w:t xml:space="preserve"> 706 </w:t>
      </w:r>
      <w:r w:rsidR="00CB62EC">
        <w:t>procent</w:t>
      </w:r>
      <w:r w:rsidR="00D626E0">
        <w:t xml:space="preserve"> (64 004 deltagare) </w:t>
      </w:r>
    </w:p>
    <w:p w14:paraId="44F33F36" w14:textId="5FABDDEA" w:rsidR="00381812" w:rsidRPr="00990139" w:rsidRDefault="00F85BB2" w:rsidP="00F85BB2">
      <w:pPr>
        <w:pStyle w:val="Brdtext"/>
      </w:pPr>
      <w:bookmarkStart w:id="9" w:name="_Hlk187831575"/>
      <w:bookmarkStart w:id="10" w:name="_Hlk188621383"/>
      <w:r w:rsidRPr="00990139">
        <w:t xml:space="preserve">Delmålet har överträffats </w:t>
      </w:r>
      <w:r w:rsidR="00381812" w:rsidRPr="00990139">
        <w:t>väsentligt</w:t>
      </w:r>
      <w:r w:rsidR="00AE459D" w:rsidRPr="00990139">
        <w:t xml:space="preserve">. Detta förklaras </w:t>
      </w:r>
      <w:r w:rsidR="00381812" w:rsidRPr="00990139">
        <w:t xml:space="preserve">i huvudsak av den budgeteringsmodell som tillämpas för programområdet. </w:t>
      </w:r>
    </w:p>
    <w:p w14:paraId="1B8D6570" w14:textId="639CB344" w:rsidR="005E573E" w:rsidRPr="00990139" w:rsidRDefault="00381812" w:rsidP="00F85BB2">
      <w:pPr>
        <w:pStyle w:val="Brdtext"/>
      </w:pPr>
      <w:r w:rsidRPr="00990139">
        <w:t xml:space="preserve">Budgeteringsmodellen innebär att </w:t>
      </w:r>
      <w:proofErr w:type="gramStart"/>
      <w:r w:rsidR="00AE459D" w:rsidRPr="00990139">
        <w:t>den nationell</w:t>
      </w:r>
      <w:r w:rsidRPr="00990139">
        <w:t>a</w:t>
      </w:r>
      <w:r w:rsidR="00AE459D" w:rsidRPr="00990139">
        <w:t xml:space="preserve"> medfinansiering</w:t>
      </w:r>
      <w:proofErr w:type="gramEnd"/>
      <w:r w:rsidR="00AE459D" w:rsidRPr="00990139">
        <w:t xml:space="preserve"> (om 60 procent) </w:t>
      </w:r>
      <w:r w:rsidRPr="00990139">
        <w:t xml:space="preserve">utgörs av </w:t>
      </w:r>
      <w:r w:rsidR="00AE459D" w:rsidRPr="00990139">
        <w:t>ordinarie anslag</w:t>
      </w:r>
      <w:r w:rsidR="00E95567">
        <w:t>s</w:t>
      </w:r>
      <w:r w:rsidR="00AE459D" w:rsidRPr="00990139">
        <w:t>medel för arbetsmarknadspolitiska insatser, i stället för deltagarersät</w:t>
      </w:r>
      <w:r w:rsidRPr="00990139">
        <w:t>t</w:t>
      </w:r>
      <w:r w:rsidR="00AE459D" w:rsidRPr="00990139">
        <w:t>ning. Detta inn</w:t>
      </w:r>
      <w:r w:rsidR="007558E3" w:rsidRPr="00990139">
        <w:t>e</w:t>
      </w:r>
      <w:r w:rsidR="00AE459D" w:rsidRPr="00990139">
        <w:t xml:space="preserve">bär att budgeten för insatser i projekten är 150 procent högre än vad som ursprungligen antagits. </w:t>
      </w:r>
    </w:p>
    <w:p w14:paraId="1D81EE29" w14:textId="741BFA32" w:rsidR="00AE459D" w:rsidRPr="00990139" w:rsidRDefault="005E573E" w:rsidP="00F85BB2">
      <w:pPr>
        <w:pStyle w:val="Brdtext"/>
      </w:pPr>
      <w:r w:rsidRPr="00990139">
        <w:t xml:space="preserve">Budgeteringsmodellen innebär även att </w:t>
      </w:r>
      <w:r w:rsidR="00AE459D" w:rsidRPr="00990139">
        <w:t xml:space="preserve">den genomsnittliga kostnaden för insatserna som belastar projekten </w:t>
      </w:r>
      <w:r w:rsidR="007522BF">
        <w:t xml:space="preserve">är </w:t>
      </w:r>
      <w:r w:rsidR="00AE459D" w:rsidRPr="00990139">
        <w:t xml:space="preserve">lägre än </w:t>
      </w:r>
      <w:r w:rsidR="00381812" w:rsidRPr="00990139">
        <w:t xml:space="preserve">vad som ursprungligen </w:t>
      </w:r>
      <w:r w:rsidR="00AE459D" w:rsidRPr="00990139">
        <w:t>antagits</w:t>
      </w:r>
      <w:r w:rsidR="00381812" w:rsidRPr="00990139">
        <w:t xml:space="preserve"> </w:t>
      </w:r>
      <w:r w:rsidR="00381812" w:rsidRPr="00990139">
        <w:lastRenderedPageBreak/>
        <w:t xml:space="preserve">eftersom vissa kostnader uppstår efter att projekten avslutats. Dessa kostnader består dels av </w:t>
      </w:r>
      <w:r w:rsidR="004C194C">
        <w:t xml:space="preserve">månadsersättning för </w:t>
      </w:r>
      <w:r w:rsidR="00381812" w:rsidRPr="00990139">
        <w:t xml:space="preserve">vissa </w:t>
      </w:r>
      <w:r w:rsidR="00990139" w:rsidRPr="00990139">
        <w:t xml:space="preserve">deltagare </w:t>
      </w:r>
      <w:r w:rsidR="004C194C">
        <w:t xml:space="preserve">som </w:t>
      </w:r>
      <w:r w:rsidR="00381812" w:rsidRPr="00990139">
        <w:t xml:space="preserve">fortsätter i insatsen efter att projekten avslutats, dels </w:t>
      </w:r>
      <w:r w:rsidR="004C194C">
        <w:t>av</w:t>
      </w:r>
      <w:r w:rsidR="00381812" w:rsidRPr="00990139">
        <w:t xml:space="preserve"> utbetald resultatersättning</w:t>
      </w:r>
      <w:r w:rsidR="00AE459D" w:rsidRPr="00990139">
        <w:t xml:space="preserve">. </w:t>
      </w:r>
    </w:p>
    <w:p w14:paraId="17265613" w14:textId="11870A49" w:rsidR="004C194C" w:rsidRDefault="004C194C" w:rsidP="00F85BB2">
      <w:pPr>
        <w:pStyle w:val="Brdtext"/>
      </w:pPr>
      <w:r w:rsidRPr="004C194C">
        <w:t>Ytterligare en förklaring till det högre deltagarantalet är att den genomsnittliga kostnaden för en fullt genomförd insats är något lägre än vad som ursprungligen antagits.</w:t>
      </w:r>
    </w:p>
    <w:p w14:paraId="430CA403" w14:textId="5BEFD20D" w:rsidR="00D92BE5" w:rsidRPr="00815524" w:rsidRDefault="00F85BB2" w:rsidP="00EB12CD">
      <w:pPr>
        <w:pStyle w:val="Brdtext"/>
      </w:pPr>
      <w:r w:rsidRPr="00375882">
        <w:t xml:space="preserve">Mot </w:t>
      </w:r>
      <w:r w:rsidR="00DC2829" w:rsidRPr="00375882">
        <w:t>denna</w:t>
      </w:r>
      <w:r w:rsidRPr="00375882">
        <w:t xml:space="preserve"> bakgrund</w:t>
      </w:r>
      <w:r w:rsidR="00DC2829" w:rsidRPr="00375882">
        <w:t>,</w:t>
      </w:r>
      <w:r w:rsidRPr="00375882">
        <w:t xml:space="preserve"> </w:t>
      </w:r>
      <w:r w:rsidR="00815524">
        <w:t>och</w:t>
      </w:r>
      <w:r w:rsidR="00DC2829" w:rsidRPr="00375882">
        <w:t xml:space="preserve"> med anledning av </w:t>
      </w:r>
      <w:r w:rsidR="00265BED">
        <w:t>justerad</w:t>
      </w:r>
      <w:r w:rsidR="004C194C">
        <w:t xml:space="preserve"> </w:t>
      </w:r>
      <w:r w:rsidR="00DC2829" w:rsidRPr="00375882">
        <w:t xml:space="preserve">valutakurs, </w:t>
      </w:r>
      <w:r w:rsidRPr="00375882">
        <w:t xml:space="preserve">har en ny beräkning av slutmålet för 2029 gjorts. Regeringen föreslår att slutmålet för programområde B ändras till </w:t>
      </w:r>
      <w:r w:rsidR="006111AE">
        <w:t xml:space="preserve">169 659 </w:t>
      </w:r>
      <w:r w:rsidRPr="00375882">
        <w:t>deltagare.</w:t>
      </w:r>
      <w:bookmarkEnd w:id="9"/>
    </w:p>
    <w:bookmarkEnd w:id="10"/>
    <w:p w14:paraId="00E060A2" w14:textId="1C31F18E" w:rsidR="005D5022" w:rsidRDefault="005D5022" w:rsidP="00EB12CD">
      <w:pPr>
        <w:pStyle w:val="Brdtext"/>
        <w:rPr>
          <w:rFonts w:asciiTheme="majorHAnsi" w:eastAsiaTheme="majorEastAsia" w:hAnsiTheme="majorHAnsi" w:cstheme="majorBidi"/>
          <w:sz w:val="22"/>
          <w:szCs w:val="24"/>
        </w:rPr>
      </w:pPr>
      <w:r>
        <w:rPr>
          <w:rFonts w:asciiTheme="majorHAnsi" w:eastAsiaTheme="majorEastAsia" w:hAnsiTheme="majorHAnsi" w:cstheme="majorBidi"/>
          <w:sz w:val="22"/>
          <w:szCs w:val="24"/>
        </w:rPr>
        <w:t>Programområde C Minska risken för ekonomisk utsatthet</w:t>
      </w:r>
    </w:p>
    <w:p w14:paraId="7A09D2FC" w14:textId="3AC506DD" w:rsidR="002A61E0" w:rsidRDefault="002A61E0" w:rsidP="002A61E0">
      <w:pPr>
        <w:pStyle w:val="Brdtext"/>
        <w:rPr>
          <w:i/>
          <w:iCs/>
        </w:rPr>
      </w:pPr>
      <w:r w:rsidRPr="00204124">
        <w:t>Programområde</w:t>
      </w:r>
      <w:r w:rsidR="007D5CB8">
        <w:t xml:space="preserve"> C</w:t>
      </w:r>
      <w:r w:rsidRPr="00204124">
        <w:t xml:space="preserve"> omfattar i första hand insatser för personer, såväl barn som vuxna, som </w:t>
      </w:r>
      <w:r w:rsidR="00F52590">
        <w:t>löper risk för</w:t>
      </w:r>
      <w:r w:rsidRPr="00204124">
        <w:t xml:space="preserve"> fattigdom eller social utestängning. Det kan handla om insatser som </w:t>
      </w:r>
      <w:proofErr w:type="gramStart"/>
      <w:r w:rsidRPr="00204124">
        <w:t>bl.a.</w:t>
      </w:r>
      <w:proofErr w:type="gramEnd"/>
      <w:r w:rsidRPr="00204124">
        <w:t xml:space="preserve"> läxhjälp, fritidsaktiviteter, hälsofrämjande insatser och insatser för att motverka segregation. </w:t>
      </w:r>
    </w:p>
    <w:p w14:paraId="6815880C" w14:textId="31401182" w:rsidR="00C17D87" w:rsidRPr="00EB0F71" w:rsidRDefault="007D5CB8" w:rsidP="00C17D87">
      <w:pPr>
        <w:pStyle w:val="Brdtext"/>
      </w:pPr>
      <w:r w:rsidRPr="00EB0F71">
        <w:t>S</w:t>
      </w:r>
      <w:r w:rsidR="00C17D87" w:rsidRPr="00EB0F71">
        <w:t xml:space="preserve">edan programstarten </w:t>
      </w:r>
      <w:r w:rsidRPr="00EB0F71">
        <w:t xml:space="preserve">har </w:t>
      </w:r>
      <w:r w:rsidR="00C17D87" w:rsidRPr="00EB0F71">
        <w:t>fem utlysningar</w:t>
      </w:r>
      <w:r w:rsidRPr="00EB0F71">
        <w:t xml:space="preserve"> publicerats (tillämpningsprojekt)</w:t>
      </w:r>
      <w:r w:rsidR="00C17D87" w:rsidRPr="00EB0F71">
        <w:t xml:space="preserve">. </w:t>
      </w:r>
      <w:r w:rsidRPr="00EB0F71">
        <w:t>T</w:t>
      </w:r>
      <w:r w:rsidR="00C17D87" w:rsidRPr="00EB0F71">
        <w:t xml:space="preserve">re av </w:t>
      </w:r>
      <w:r w:rsidRPr="00EB0F71">
        <w:t xml:space="preserve">utlysningarna har </w:t>
      </w:r>
      <w:r w:rsidR="00132DAF" w:rsidRPr="00EB0F71">
        <w:t xml:space="preserve">haft inriktningen </w:t>
      </w:r>
      <w:r w:rsidR="00C17D87" w:rsidRPr="00EB0F71">
        <w:t>att motverka barnfattigdom i särskilt utsatta områden</w:t>
      </w:r>
      <w:r w:rsidR="00644B2D" w:rsidRPr="00EB0F71">
        <w:rPr>
          <w:rStyle w:val="Fotnotsreferens"/>
        </w:rPr>
        <w:footnoteReference w:id="19"/>
      </w:r>
      <w:r w:rsidR="00C17D87" w:rsidRPr="00EB0F71">
        <w:t xml:space="preserve">. Övriga två utlysningar har </w:t>
      </w:r>
      <w:r w:rsidR="00132DAF" w:rsidRPr="00EB0F71">
        <w:t>haft inriktning mot</w:t>
      </w:r>
      <w:r w:rsidR="00C17D87" w:rsidRPr="00EB0F71">
        <w:t xml:space="preserve"> ekonomisk utsatthet hos unga vuxna </w:t>
      </w:r>
      <w:r w:rsidR="00952360">
        <w:t xml:space="preserve">i åldern </w:t>
      </w:r>
      <w:r w:rsidR="00C17D87" w:rsidRPr="00EB0F71">
        <w:t>18</w:t>
      </w:r>
      <w:r w:rsidR="004E0C82">
        <w:t>–</w:t>
      </w:r>
      <w:r w:rsidR="00C17D87" w:rsidRPr="00EB0F71">
        <w:t xml:space="preserve">29 år. </w:t>
      </w:r>
    </w:p>
    <w:p w14:paraId="3A07F6F4" w14:textId="6FBED6B0" w:rsidR="002A61E0" w:rsidRPr="0027283E" w:rsidRDefault="002A61E0" w:rsidP="002A61E0">
      <w:pPr>
        <w:pStyle w:val="Brdtext"/>
      </w:pPr>
      <w:r w:rsidRPr="00080130">
        <w:rPr>
          <w:b/>
          <w:bCs/>
        </w:rPr>
        <w:t>Delmål per 2024</w:t>
      </w:r>
      <w:r w:rsidRPr="0027283E">
        <w:t xml:space="preserve">: 309 deltagare     </w:t>
      </w:r>
    </w:p>
    <w:p w14:paraId="5E99B9DE" w14:textId="30771E0B" w:rsidR="002A61E0" w:rsidRPr="00EB0F71" w:rsidRDefault="002A61E0" w:rsidP="002A61E0">
      <w:pPr>
        <w:pStyle w:val="Brdtext"/>
        <w:rPr>
          <w:i/>
          <w:iCs/>
        </w:rPr>
      </w:pPr>
      <w:r w:rsidRPr="00EB0F71">
        <w:rPr>
          <w:b/>
          <w:bCs/>
        </w:rPr>
        <w:t>Uppnått per 2024</w:t>
      </w:r>
      <w:r w:rsidRPr="00EB0F71">
        <w:rPr>
          <w:rStyle w:val="Fotnotsreferens"/>
          <w:b/>
          <w:bCs/>
        </w:rPr>
        <w:footnoteReference w:id="20"/>
      </w:r>
      <w:r w:rsidRPr="00EB0F71">
        <w:rPr>
          <w:b/>
          <w:bCs/>
        </w:rPr>
        <w:t>:</w:t>
      </w:r>
      <w:r w:rsidRPr="00EB0F71">
        <w:t xml:space="preserve"> </w:t>
      </w:r>
      <w:r w:rsidR="00671A6C" w:rsidRPr="00EB0F71">
        <w:t>9</w:t>
      </w:r>
      <w:r w:rsidR="00D626E0">
        <w:t>7</w:t>
      </w:r>
      <w:r w:rsidRPr="00EB0F71">
        <w:t xml:space="preserve"> </w:t>
      </w:r>
      <w:r w:rsidR="00E04BB4">
        <w:t>procent</w:t>
      </w:r>
      <w:r w:rsidR="00636B5F" w:rsidRPr="00EB0F71">
        <w:t xml:space="preserve"> </w:t>
      </w:r>
      <w:r w:rsidR="00D626E0">
        <w:t>(301 deltagare)</w:t>
      </w:r>
    </w:p>
    <w:p w14:paraId="378736E7" w14:textId="327473DA" w:rsidR="002B2FC9" w:rsidRPr="00EB0F71" w:rsidRDefault="002B2FC9" w:rsidP="002B2FC9">
      <w:pPr>
        <w:pStyle w:val="Brdtext"/>
      </w:pPr>
      <w:r w:rsidRPr="00EB0F71">
        <w:t xml:space="preserve">Delmålet har </w:t>
      </w:r>
      <w:r w:rsidR="00671A6C" w:rsidRPr="00EB0F71">
        <w:t>i stort uppnåtts.</w:t>
      </w:r>
      <w:r w:rsidRPr="00EB0F71">
        <w:t xml:space="preserve"> Bedömningen är att </w:t>
      </w:r>
      <w:r w:rsidR="00671A6C" w:rsidRPr="00EB0F71">
        <w:t xml:space="preserve">även </w:t>
      </w:r>
      <w:r w:rsidR="00B8340A">
        <w:t xml:space="preserve">det hittillsvarande </w:t>
      </w:r>
      <w:r w:rsidRPr="00EB0F71">
        <w:t>slutmålet på 1</w:t>
      </w:r>
      <w:r w:rsidR="00C740D2" w:rsidRPr="00EB0F71">
        <w:t> </w:t>
      </w:r>
      <w:r w:rsidRPr="00EB0F71">
        <w:t>030</w:t>
      </w:r>
      <w:r w:rsidR="00946E43" w:rsidRPr="00EB0F71">
        <w:t> </w:t>
      </w:r>
      <w:r w:rsidR="00823022" w:rsidRPr="00EB0F71">
        <w:t xml:space="preserve">(vuxna) </w:t>
      </w:r>
      <w:r w:rsidR="00C740D2" w:rsidRPr="00EB0F71">
        <w:t xml:space="preserve">deltagare </w:t>
      </w:r>
      <w:r w:rsidR="00C712BB">
        <w:t xml:space="preserve">kommer </w:t>
      </w:r>
      <w:r w:rsidRPr="00EB0F71">
        <w:t>uppnås.</w:t>
      </w:r>
      <w:r w:rsidR="00B8340A">
        <w:t xml:space="preserve"> Med anledning av </w:t>
      </w:r>
      <w:r w:rsidR="00265BED">
        <w:t>justerad</w:t>
      </w:r>
      <w:r w:rsidR="004C194C">
        <w:t xml:space="preserve"> </w:t>
      </w:r>
      <w:r w:rsidR="00B8340A">
        <w:t xml:space="preserve">valutakurs bör målet justeras till </w:t>
      </w:r>
      <w:r w:rsidR="00696F98">
        <w:t>1</w:t>
      </w:r>
      <w:r w:rsidR="00D85893">
        <w:t xml:space="preserve"> </w:t>
      </w:r>
      <w:r w:rsidR="00696F98">
        <w:t>16</w:t>
      </w:r>
      <w:r w:rsidR="00DC7EE7">
        <w:t xml:space="preserve">3 </w:t>
      </w:r>
      <w:r w:rsidR="00696F98">
        <w:t xml:space="preserve">deltagare, vilket även </w:t>
      </w:r>
      <w:r w:rsidR="00427429">
        <w:t xml:space="preserve">bedöms </w:t>
      </w:r>
      <w:r w:rsidR="00D94F83">
        <w:t>kunna</w:t>
      </w:r>
      <w:r w:rsidR="00427429">
        <w:t xml:space="preserve"> </w:t>
      </w:r>
      <w:r w:rsidR="00696F98">
        <w:t xml:space="preserve">uppnås. </w:t>
      </w:r>
    </w:p>
    <w:p w14:paraId="03E66B2A" w14:textId="77777777" w:rsidR="002A61E0" w:rsidRPr="0027283E" w:rsidRDefault="002A61E0" w:rsidP="002A61E0">
      <w:pPr>
        <w:pStyle w:val="Brdtext"/>
      </w:pPr>
      <w:r w:rsidRPr="00080130">
        <w:rPr>
          <w:b/>
          <w:bCs/>
        </w:rPr>
        <w:t>Delmål per 2024</w:t>
      </w:r>
      <w:r w:rsidRPr="0027283E">
        <w:t xml:space="preserve">: 4 projekt     </w:t>
      </w:r>
    </w:p>
    <w:p w14:paraId="39A9EC1F" w14:textId="694424C7" w:rsidR="002A61E0" w:rsidRPr="0027283E" w:rsidRDefault="002A61E0" w:rsidP="002A61E0">
      <w:pPr>
        <w:pStyle w:val="Brdtext"/>
      </w:pPr>
      <w:r w:rsidRPr="00080130">
        <w:rPr>
          <w:b/>
          <w:bCs/>
        </w:rPr>
        <w:lastRenderedPageBreak/>
        <w:t>Uppnått per 2024</w:t>
      </w:r>
      <w:r w:rsidRPr="0027283E">
        <w:t xml:space="preserve">: </w:t>
      </w:r>
      <w:r w:rsidR="00DC7EE7">
        <w:t>300 procent (</w:t>
      </w:r>
      <w:r w:rsidR="004F37BC">
        <w:t>12</w:t>
      </w:r>
      <w:r w:rsidRPr="0027283E">
        <w:t xml:space="preserve"> projekt</w:t>
      </w:r>
      <w:r w:rsidR="00DC7EE7">
        <w:t>)</w:t>
      </w:r>
    </w:p>
    <w:p w14:paraId="1C0C9848" w14:textId="17F35ECF" w:rsidR="004F37BC" w:rsidRPr="00FA2E3F" w:rsidRDefault="002A61E0" w:rsidP="00080130">
      <w:pPr>
        <w:pStyle w:val="Brdtext"/>
        <w:rPr>
          <w:i/>
          <w:iCs/>
        </w:rPr>
      </w:pPr>
      <w:r w:rsidRPr="0027283E">
        <w:t xml:space="preserve">Delmålet har uppnåtts </w:t>
      </w:r>
      <w:r w:rsidR="009F7685">
        <w:t xml:space="preserve">till </w:t>
      </w:r>
      <w:r w:rsidR="004F37BC">
        <w:t>300</w:t>
      </w:r>
      <w:r w:rsidR="009F7685">
        <w:t xml:space="preserve"> procent</w:t>
      </w:r>
      <w:r w:rsidR="0078478C">
        <w:t xml:space="preserve">. </w:t>
      </w:r>
      <w:r w:rsidR="0078478C" w:rsidRPr="00EB0F71">
        <w:t>En förklaring är att programområde</w:t>
      </w:r>
      <w:r w:rsidR="004F37BC">
        <w:t> </w:t>
      </w:r>
      <w:r w:rsidR="0078478C" w:rsidRPr="00EB0F71">
        <w:t xml:space="preserve">C har riktats till fler </w:t>
      </w:r>
      <w:r w:rsidR="00A03278" w:rsidRPr="00EB0F71">
        <w:t xml:space="preserve">utsatta områden än det ursprungliga antagandet </w:t>
      </w:r>
      <w:r w:rsidR="00671A6C" w:rsidRPr="00EB0F71">
        <w:t>att de enbart skulle avse sådana områden i storstäderna</w:t>
      </w:r>
      <w:r w:rsidR="004D08BB">
        <w:t xml:space="preserve">. </w:t>
      </w:r>
      <w:r w:rsidR="004F37BC">
        <w:t xml:space="preserve">Slutmålet på </w:t>
      </w:r>
      <w:r w:rsidR="004F37BC" w:rsidRPr="004F37BC">
        <w:t>12 projekt 2029 är uppnått</w:t>
      </w:r>
      <w:r w:rsidR="004F37BC">
        <w:rPr>
          <w:color w:val="FF0000"/>
        </w:rPr>
        <w:t xml:space="preserve">. </w:t>
      </w:r>
      <w:r w:rsidR="00696F98" w:rsidRPr="00641826">
        <w:t>Vid en justering av slu</w:t>
      </w:r>
      <w:r w:rsidR="00C712BB" w:rsidRPr="00641826">
        <w:t>t</w:t>
      </w:r>
      <w:r w:rsidR="00696F98" w:rsidRPr="00641826">
        <w:t xml:space="preserve">målet till 13 projekt, med anledning av </w:t>
      </w:r>
      <w:r w:rsidR="00265BED">
        <w:t>justerad</w:t>
      </w:r>
      <w:r w:rsidR="004C194C">
        <w:t xml:space="preserve"> </w:t>
      </w:r>
      <w:r w:rsidR="00696F98" w:rsidRPr="00641826">
        <w:t xml:space="preserve">valutakurs, </w:t>
      </w:r>
      <w:r w:rsidR="00D94F83">
        <w:t>bedöms</w:t>
      </w:r>
      <w:r w:rsidR="00D94F83" w:rsidRPr="00641826">
        <w:t xml:space="preserve"> </w:t>
      </w:r>
      <w:r w:rsidR="00696F98" w:rsidRPr="00641826">
        <w:t>även det kunna uppnås</w:t>
      </w:r>
      <w:r w:rsidR="00641826">
        <w:t xml:space="preserve">. </w:t>
      </w:r>
      <w:r w:rsidR="00CF22B8" w:rsidRPr="00FA2E3F">
        <w:t xml:space="preserve"> </w:t>
      </w:r>
    </w:p>
    <w:p w14:paraId="1E7847B0" w14:textId="58B46827" w:rsidR="00080130" w:rsidRPr="00EB0F71" w:rsidRDefault="00080130" w:rsidP="00080130">
      <w:pPr>
        <w:pStyle w:val="Brdtext"/>
        <w:rPr>
          <w:rFonts w:asciiTheme="majorHAnsi" w:eastAsiaTheme="majorEastAsia" w:hAnsiTheme="majorHAnsi" w:cstheme="majorBidi"/>
          <w:sz w:val="22"/>
          <w:szCs w:val="24"/>
        </w:rPr>
      </w:pPr>
      <w:r w:rsidRPr="00EB0F71">
        <w:rPr>
          <w:rFonts w:asciiTheme="majorHAnsi" w:eastAsiaTheme="majorEastAsia" w:hAnsiTheme="majorHAnsi" w:cstheme="majorBidi"/>
          <w:sz w:val="22"/>
          <w:szCs w:val="24"/>
        </w:rPr>
        <w:t>Programområde D Öka kapaciteten i den glesa geografin</w:t>
      </w:r>
    </w:p>
    <w:p w14:paraId="1F07E800" w14:textId="4023BC42" w:rsidR="00DE781A" w:rsidRPr="00EB0F71" w:rsidRDefault="00080130" w:rsidP="00DE781A">
      <w:pPr>
        <w:pStyle w:val="Brdtext"/>
        <w:rPr>
          <w:highlight w:val="cyan"/>
        </w:rPr>
      </w:pPr>
      <w:r w:rsidRPr="00EB0F71">
        <w:t xml:space="preserve">Programområde D omfattar </w:t>
      </w:r>
      <w:r w:rsidR="005860AC" w:rsidRPr="00EB0F71">
        <w:t xml:space="preserve">regionerna </w:t>
      </w:r>
      <w:r w:rsidRPr="00EB0F71">
        <w:t xml:space="preserve">Övre Norrland och Mellersta Norrland. Insatserna ska i första hand handla om kapacitetsförstärkning av lokala och regionala strukturer, men kan även avse insatser direkt till individer. </w:t>
      </w:r>
    </w:p>
    <w:p w14:paraId="1FCDA656" w14:textId="6FD10370" w:rsidR="00DE781A" w:rsidRPr="00EB0F71" w:rsidRDefault="002128C6" w:rsidP="00DE781A">
      <w:pPr>
        <w:pStyle w:val="Brdtext"/>
      </w:pPr>
      <w:r w:rsidRPr="00EB0F71">
        <w:t>S</w:t>
      </w:r>
      <w:r w:rsidR="00DE781A" w:rsidRPr="00EB0F71">
        <w:t xml:space="preserve">edan programstarten </w:t>
      </w:r>
      <w:r w:rsidRPr="00EB0F71">
        <w:t xml:space="preserve">har </w:t>
      </w:r>
      <w:r w:rsidR="00F149A7">
        <w:t>18</w:t>
      </w:r>
      <w:r w:rsidR="00DE781A" w:rsidRPr="00EB0F71">
        <w:t xml:space="preserve"> utlysningar </w:t>
      </w:r>
      <w:r w:rsidRPr="00EB0F71">
        <w:t xml:space="preserve">publicerats, </w:t>
      </w:r>
      <w:r w:rsidR="00DE781A" w:rsidRPr="00EB0F71">
        <w:t xml:space="preserve">varav sju </w:t>
      </w:r>
      <w:r w:rsidRPr="00EB0F71">
        <w:t>avser</w:t>
      </w:r>
      <w:r w:rsidR="00DE781A" w:rsidRPr="00EB0F71">
        <w:t xml:space="preserve"> förstudier, </w:t>
      </w:r>
      <w:r w:rsidRPr="00EB0F71">
        <w:t xml:space="preserve">nio tillämpningsprojekt och två </w:t>
      </w:r>
      <w:r w:rsidR="00DE781A" w:rsidRPr="00EB0F71">
        <w:t>metodutvecklingsprojekt</w:t>
      </w:r>
      <w:r w:rsidRPr="00EB0F71">
        <w:t xml:space="preserve">. Flertalet </w:t>
      </w:r>
      <w:r w:rsidR="00DE781A" w:rsidRPr="00EB0F71">
        <w:t xml:space="preserve">utlysningar har </w:t>
      </w:r>
      <w:r w:rsidRPr="00EB0F71">
        <w:t xml:space="preserve">varit </w:t>
      </w:r>
      <w:r w:rsidR="00DE781A" w:rsidRPr="00EB0F71">
        <w:t>inrikt</w:t>
      </w:r>
      <w:r w:rsidRPr="00EB0F71">
        <w:t xml:space="preserve">ade på att </w:t>
      </w:r>
      <w:r w:rsidR="00DE781A" w:rsidRPr="00EB0F71">
        <w:t>öka den strukturella kapaciteten</w:t>
      </w:r>
      <w:r w:rsidRPr="00EB0F71">
        <w:t xml:space="preserve">. </w:t>
      </w:r>
      <w:r w:rsidR="008C6D32" w:rsidRPr="009B5E2C">
        <w:t>Det har exempelvis resulterat i insatser som syftar till att stärka relationerna mellan skola och näringsliv</w:t>
      </w:r>
      <w:r w:rsidR="00BE15B0" w:rsidRPr="009B5E2C">
        <w:t xml:space="preserve"> för </w:t>
      </w:r>
      <w:r w:rsidR="008C6D32" w:rsidRPr="009B5E2C">
        <w:t xml:space="preserve">att öka möjligheterna att tillgodose det långsiktiga regionala kompetensförsörjningsbehovet. </w:t>
      </w:r>
      <w:r w:rsidR="00DE781A" w:rsidRPr="009B5E2C">
        <w:t xml:space="preserve">Inledningsvis </w:t>
      </w:r>
      <w:r w:rsidRPr="009B5E2C">
        <w:t>har det varit låg efterfrågan</w:t>
      </w:r>
      <w:r w:rsidR="008C6D32" w:rsidRPr="009B5E2C">
        <w:t xml:space="preserve"> i programområdet</w:t>
      </w:r>
      <w:r w:rsidRPr="009B5E2C">
        <w:t xml:space="preserve">, i </w:t>
      </w:r>
      <w:r w:rsidR="00DE781A" w:rsidRPr="009B5E2C">
        <w:t>framför allt</w:t>
      </w:r>
      <w:r w:rsidR="00DE781A" w:rsidRPr="00EB0F71">
        <w:t xml:space="preserve"> Mellersta Norrland</w:t>
      </w:r>
      <w:r w:rsidRPr="00EB0F71">
        <w:t>, men detta har nu förbättrats</w:t>
      </w:r>
      <w:r w:rsidR="009F7685" w:rsidRPr="00EB0F71">
        <w:t xml:space="preserve">. </w:t>
      </w:r>
      <w:r w:rsidR="00DE781A" w:rsidRPr="00EB0F71">
        <w:t xml:space="preserve">Under </w:t>
      </w:r>
      <w:r w:rsidRPr="00EB0F71">
        <w:t xml:space="preserve">2024 har </w:t>
      </w:r>
      <w:r w:rsidR="002D26C7">
        <w:t xml:space="preserve">Svenska ESF-rådet </w:t>
      </w:r>
      <w:r w:rsidR="00DE781A" w:rsidRPr="00EB0F71">
        <w:t xml:space="preserve">arbetat aktivt med uppsökande och mobiliserande verksamhet för att synliggöra programområdet för potentiella stödsökanden. </w:t>
      </w:r>
    </w:p>
    <w:p w14:paraId="4106569C" w14:textId="6D0AC56E" w:rsidR="00080130" w:rsidRPr="00064563" w:rsidRDefault="00080130" w:rsidP="00080130">
      <w:pPr>
        <w:pStyle w:val="Brdtext"/>
      </w:pPr>
      <w:r w:rsidRPr="00B54FE9">
        <w:rPr>
          <w:b/>
          <w:bCs/>
        </w:rPr>
        <w:t>Delmål per 2024</w:t>
      </w:r>
      <w:r w:rsidRPr="00064563">
        <w:t>: 15 projekt</w:t>
      </w:r>
    </w:p>
    <w:p w14:paraId="2B3570B8" w14:textId="027F14E9" w:rsidR="00080130" w:rsidRPr="00064563" w:rsidRDefault="00080130" w:rsidP="00080130">
      <w:pPr>
        <w:pStyle w:val="Brdtext"/>
      </w:pPr>
      <w:r w:rsidRPr="00B54FE9">
        <w:rPr>
          <w:b/>
          <w:bCs/>
        </w:rPr>
        <w:t>Uppnått per 2024:</w:t>
      </w:r>
      <w:r w:rsidRPr="00064563">
        <w:t xml:space="preserve"> </w:t>
      </w:r>
      <w:r w:rsidR="006B6EE1">
        <w:t>300 procent (</w:t>
      </w:r>
      <w:r w:rsidR="00BB18CD">
        <w:t>45</w:t>
      </w:r>
      <w:r w:rsidRPr="00064563">
        <w:t xml:space="preserve"> projekt</w:t>
      </w:r>
      <w:r w:rsidR="006B6EE1">
        <w:t>)</w:t>
      </w:r>
    </w:p>
    <w:p w14:paraId="57DCDA42" w14:textId="35964C70" w:rsidR="00157C43" w:rsidRPr="00064563" w:rsidRDefault="00080130" w:rsidP="00080130">
      <w:pPr>
        <w:pStyle w:val="Brdtext"/>
      </w:pPr>
      <w:r w:rsidRPr="002261C1">
        <w:t xml:space="preserve">Delmålet har uppnåtts med </w:t>
      </w:r>
      <w:r w:rsidR="00F149A7">
        <w:t>300</w:t>
      </w:r>
      <w:r w:rsidRPr="002261C1">
        <w:t xml:space="preserve"> procent. </w:t>
      </w:r>
      <w:r w:rsidR="00CB1423">
        <w:t>Projekten</w:t>
      </w:r>
      <w:r w:rsidR="004A3D62">
        <w:t xml:space="preserve"> är fler och något mindre till sin omfattning än beräknat. En angiven förklaring är farhågor </w:t>
      </w:r>
      <w:r w:rsidR="009A0BD0">
        <w:t xml:space="preserve">bland projektansökare </w:t>
      </w:r>
      <w:r w:rsidR="004A3D62">
        <w:t xml:space="preserve">att inte kunna uppnå erforderlig grad av nationell medfinansiering </w:t>
      </w:r>
      <w:r w:rsidR="00A440FF">
        <w:t>i projekten.</w:t>
      </w:r>
      <w:r w:rsidR="004A3D62">
        <w:t xml:space="preserve"> </w:t>
      </w:r>
      <w:r w:rsidRPr="00064563">
        <w:t xml:space="preserve">Bedömningen är att </w:t>
      </w:r>
      <w:r w:rsidR="009B5E2C">
        <w:t xml:space="preserve">det nuvarande </w:t>
      </w:r>
      <w:r w:rsidRPr="00064563">
        <w:t>slutmålet på 50 projekt också k</w:t>
      </w:r>
      <w:r w:rsidR="001D05AA">
        <w:t xml:space="preserve">ommer </w:t>
      </w:r>
      <w:r w:rsidRPr="00064563">
        <w:t>uppnås</w:t>
      </w:r>
      <w:r w:rsidR="009B5E2C">
        <w:t xml:space="preserve">, liksom </w:t>
      </w:r>
      <w:r w:rsidR="00D94F83">
        <w:t xml:space="preserve">vid </w:t>
      </w:r>
      <w:r w:rsidR="009B5E2C">
        <w:t>ett justerat slutmål om 56 projekt.</w:t>
      </w:r>
    </w:p>
    <w:p w14:paraId="03E4BD7F" w14:textId="77777777" w:rsidR="00A670BC" w:rsidRDefault="00A670BC" w:rsidP="00B74F60">
      <w:pPr>
        <w:pStyle w:val="Brdtext"/>
        <w:rPr>
          <w:rFonts w:asciiTheme="majorHAnsi" w:eastAsiaTheme="majorEastAsia" w:hAnsiTheme="majorHAnsi" w:cstheme="majorBidi"/>
          <w:sz w:val="22"/>
          <w:szCs w:val="24"/>
        </w:rPr>
      </w:pPr>
    </w:p>
    <w:p w14:paraId="5D0CECDC" w14:textId="77777777" w:rsidR="00A670BC" w:rsidRDefault="00A670BC" w:rsidP="00B74F60">
      <w:pPr>
        <w:pStyle w:val="Brdtext"/>
        <w:rPr>
          <w:rFonts w:asciiTheme="majorHAnsi" w:eastAsiaTheme="majorEastAsia" w:hAnsiTheme="majorHAnsi" w:cstheme="majorBidi"/>
          <w:sz w:val="22"/>
          <w:szCs w:val="24"/>
        </w:rPr>
      </w:pPr>
    </w:p>
    <w:p w14:paraId="0BD71D61" w14:textId="274D56F0" w:rsidR="002C1F66" w:rsidRDefault="002C1F66" w:rsidP="00B74F60">
      <w:pPr>
        <w:pStyle w:val="Brdtext"/>
        <w:rPr>
          <w:rFonts w:asciiTheme="majorHAnsi" w:eastAsiaTheme="majorEastAsia" w:hAnsiTheme="majorHAnsi" w:cstheme="majorBidi"/>
          <w:sz w:val="22"/>
          <w:szCs w:val="24"/>
        </w:rPr>
      </w:pPr>
      <w:r>
        <w:rPr>
          <w:rFonts w:asciiTheme="majorHAnsi" w:eastAsiaTheme="majorEastAsia" w:hAnsiTheme="majorHAnsi" w:cstheme="majorBidi"/>
          <w:sz w:val="22"/>
          <w:szCs w:val="24"/>
        </w:rPr>
        <w:lastRenderedPageBreak/>
        <w:t>Programområde E</w:t>
      </w:r>
      <w:r w:rsidR="00D80969">
        <w:rPr>
          <w:rFonts w:asciiTheme="majorHAnsi" w:eastAsiaTheme="majorEastAsia" w:hAnsiTheme="majorHAnsi" w:cstheme="majorBidi"/>
          <w:sz w:val="22"/>
          <w:szCs w:val="24"/>
        </w:rPr>
        <w:t xml:space="preserve"> Social innovation </w:t>
      </w:r>
    </w:p>
    <w:p w14:paraId="2ADEBCE8" w14:textId="149D75AF" w:rsidR="00440B9E" w:rsidRPr="006D124B" w:rsidRDefault="00440B9E" w:rsidP="00440B9E">
      <w:r>
        <w:t>Programområde E syftar till att stödja social innovation. Det ska möjliggöra nyskapande och effektivare lösningar för att möta utmaningar och behov inom exempelvis social inkludering, arbetsmarknad, utbildning eller kapacitetsuppbyggnad. Satsningar inom programområdet ska i huvudsak stärka den organisatoriska och strukturella kapaciteten till att bli nyskapande, men kan också omfatta direkta insatser för individer.</w:t>
      </w:r>
      <w:r w:rsidR="00745C23">
        <w:t xml:space="preserve"> Sedan programstarten har det publicerats åtta utlysningar. </w:t>
      </w:r>
      <w:r w:rsidR="00B92AED">
        <w:t xml:space="preserve">I detta ingår </w:t>
      </w:r>
      <w:r w:rsidR="00745C23">
        <w:t xml:space="preserve">en förstudie, fem metodutvecklingsprojekt och två tillämpningsprojekt.  </w:t>
      </w:r>
    </w:p>
    <w:p w14:paraId="3E01E540" w14:textId="73DEE6BF" w:rsidR="00440B9E" w:rsidRDefault="00440B9E" w:rsidP="00440B9E">
      <w:pPr>
        <w:pStyle w:val="Brdtext"/>
      </w:pPr>
      <w:r>
        <w:t xml:space="preserve">En central del i programområdet har sedan programstarten varit den insats av strategisk betydelse </w:t>
      </w:r>
      <w:r w:rsidR="00B84CE0">
        <w:t xml:space="preserve">som görs utifrån tillägg 3 i programmet för ESF+ </w:t>
      </w:r>
      <w:r>
        <w:t>(s</w:t>
      </w:r>
      <w:r w:rsidR="004D1C0A">
        <w:t>. </w:t>
      </w:r>
      <w:r>
        <w:t>101). Malmö Universitet är en central aktör i Kompetenscentrum för social innovation. Satsningen ska ge ett organiserat stöd till beviljade projekt inom programområdet för att stärka möjligheterna till utveckling och ett framgångsrikt genomförande av programområdet.</w:t>
      </w:r>
      <w:r w:rsidR="00B84CE0">
        <w:rPr>
          <w:rStyle w:val="Fotnotsreferens"/>
        </w:rPr>
        <w:footnoteReference w:id="21"/>
      </w:r>
      <w:r>
        <w:t xml:space="preserve"> Genomförda aktiviteter ska bidra till att redogöra för insatser</w:t>
      </w:r>
      <w:r w:rsidR="007946B1">
        <w:t>na</w:t>
      </w:r>
      <w:r w:rsidR="00B84CE0">
        <w:t xml:space="preserve"> i projekten</w:t>
      </w:r>
      <w:r>
        <w:t xml:space="preserve">, sprida resultat och främja kommande utlysningar inom programområdet.   </w:t>
      </w:r>
    </w:p>
    <w:p w14:paraId="50332B01" w14:textId="4830E4BE" w:rsidR="00440B9E" w:rsidRDefault="00440B9E" w:rsidP="00440B9E">
      <w:pPr>
        <w:pStyle w:val="Brdtext"/>
        <w:rPr>
          <w:i/>
          <w:iCs/>
        </w:rPr>
      </w:pPr>
      <w:r>
        <w:t>Såväl specifika projektinsatser som genomförs inom programområdet samt insatsen för strategisk betydelse ska i största möjliga mån bidra till att stärka strukturerna för social innovation, strukturer som även kan bestå efter avslutad insats.</w:t>
      </w:r>
    </w:p>
    <w:p w14:paraId="72B7C482" w14:textId="38A294CC" w:rsidR="00B54FE9" w:rsidRPr="00064563" w:rsidRDefault="00B54FE9" w:rsidP="00B54FE9">
      <w:pPr>
        <w:pStyle w:val="Brdtext"/>
      </w:pPr>
      <w:r w:rsidRPr="00B54FE9">
        <w:rPr>
          <w:b/>
          <w:bCs/>
        </w:rPr>
        <w:t>Delmål per 2024:</w:t>
      </w:r>
      <w:r w:rsidRPr="00064563">
        <w:t xml:space="preserve"> 14 projekt</w:t>
      </w:r>
    </w:p>
    <w:p w14:paraId="0EFA9F2C" w14:textId="55570E7C" w:rsidR="00B54FE9" w:rsidRPr="00064563" w:rsidRDefault="00B54FE9" w:rsidP="00B54FE9">
      <w:pPr>
        <w:pStyle w:val="Brdtext"/>
      </w:pPr>
      <w:r w:rsidRPr="00B54FE9">
        <w:rPr>
          <w:b/>
          <w:bCs/>
        </w:rPr>
        <w:t>Uppnått per 2024:</w:t>
      </w:r>
      <w:r w:rsidRPr="00064563">
        <w:t xml:space="preserve"> </w:t>
      </w:r>
      <w:r w:rsidR="006B6EE1">
        <w:t>136 procent</w:t>
      </w:r>
      <w:r w:rsidRPr="00064563">
        <w:t xml:space="preserve"> </w:t>
      </w:r>
      <w:r w:rsidR="006B6EE1">
        <w:t>(</w:t>
      </w:r>
      <w:r w:rsidRPr="00064563">
        <w:t>1</w:t>
      </w:r>
      <w:r w:rsidR="00157C43">
        <w:t>9</w:t>
      </w:r>
      <w:r w:rsidRPr="00064563">
        <w:t xml:space="preserve"> projekt</w:t>
      </w:r>
      <w:r w:rsidR="006B6EE1">
        <w:t>)</w:t>
      </w:r>
    </w:p>
    <w:p w14:paraId="38967D67" w14:textId="6D093154" w:rsidR="007E59EC" w:rsidRDefault="00B54FE9" w:rsidP="007E59EC">
      <w:pPr>
        <w:pStyle w:val="Brdtext"/>
      </w:pPr>
      <w:r w:rsidRPr="00064563">
        <w:t xml:space="preserve">Delmålet har </w:t>
      </w:r>
      <w:r w:rsidR="00907E55" w:rsidRPr="00105E64">
        <w:t>uppnåtts</w:t>
      </w:r>
      <w:r w:rsidR="00DA02F0">
        <w:t xml:space="preserve"> med 136 procent</w:t>
      </w:r>
      <w:r w:rsidR="00A21412">
        <w:t>.</w:t>
      </w:r>
      <w:r>
        <w:t xml:space="preserve"> En bedömning</w:t>
      </w:r>
      <w:r w:rsidR="00BF2AA0">
        <w:t xml:space="preserve"> är</w:t>
      </w:r>
      <w:r>
        <w:t xml:space="preserve"> </w:t>
      </w:r>
      <w:r w:rsidR="00B2325F">
        <w:t xml:space="preserve">det totala antalet projekt t.o.m. 2029 kommer att ligga </w:t>
      </w:r>
      <w:r w:rsidR="00BF2AA0">
        <w:t xml:space="preserve">på ca 40 projekt, dvs. </w:t>
      </w:r>
      <w:r w:rsidR="00B2325F">
        <w:t xml:space="preserve">under </w:t>
      </w:r>
      <w:r w:rsidR="0018095E">
        <w:t>det nuvarande slut</w:t>
      </w:r>
      <w:r w:rsidR="00436E0C">
        <w:t xml:space="preserve">målet på </w:t>
      </w:r>
      <w:r w:rsidR="00AA7044">
        <w:t>48 projekt</w:t>
      </w:r>
      <w:r w:rsidR="00436E0C">
        <w:t>.</w:t>
      </w:r>
      <w:r w:rsidR="00907E55">
        <w:t xml:space="preserve"> Detta </w:t>
      </w:r>
      <w:r w:rsidR="00AA31D3">
        <w:t xml:space="preserve">beror </w:t>
      </w:r>
      <w:r w:rsidR="00BF2AA0">
        <w:t>på</w:t>
      </w:r>
      <w:r w:rsidR="00907E55">
        <w:t xml:space="preserve"> att projekten är något mer kostsamma än beräknat</w:t>
      </w:r>
      <w:r w:rsidR="00B43D6D">
        <w:t xml:space="preserve">, till följd av att </w:t>
      </w:r>
      <w:r w:rsidR="00AA31D3">
        <w:t>ett ökat fokus lagts på att de ska bidra till bestående strukturer</w:t>
      </w:r>
      <w:r w:rsidR="00BF2AA0">
        <w:t xml:space="preserve"> för social innovation. </w:t>
      </w:r>
      <w:r w:rsidR="0018095E">
        <w:t>Mot denna bakgrund föreslås inte någon justering av slutmålet</w:t>
      </w:r>
      <w:r w:rsidR="00AB27EF">
        <w:t xml:space="preserve"> med anledning av </w:t>
      </w:r>
      <w:r w:rsidR="00265BED">
        <w:t>justerad</w:t>
      </w:r>
      <w:r w:rsidR="004C194C">
        <w:t xml:space="preserve"> </w:t>
      </w:r>
      <w:r w:rsidR="00AB27EF">
        <w:t xml:space="preserve">valutakurs. </w:t>
      </w:r>
      <w:bookmarkEnd w:id="5"/>
      <w:bookmarkEnd w:id="6"/>
    </w:p>
    <w:p w14:paraId="1EE6DB76" w14:textId="77777777" w:rsidR="007E59EC" w:rsidRPr="00AF4876" w:rsidRDefault="008C26B6" w:rsidP="00AF4876">
      <w:pPr>
        <w:pStyle w:val="Rubrik4utannumrering"/>
      </w:pPr>
      <w:r w:rsidRPr="00AF4876">
        <w:lastRenderedPageBreak/>
        <w:t xml:space="preserve">Regeringens bedömning </w:t>
      </w:r>
    </w:p>
    <w:p w14:paraId="2E14691D" w14:textId="2F85921F" w:rsidR="00592C0F" w:rsidRPr="00A159BA" w:rsidRDefault="002C7632" w:rsidP="007E59EC">
      <w:pPr>
        <w:pStyle w:val="Brdtext"/>
      </w:pPr>
      <w:r w:rsidRPr="006A2CC4">
        <w:t>Regeringen konstaterar att</w:t>
      </w:r>
      <w:r w:rsidR="000C1719" w:rsidRPr="006A2CC4">
        <w:t xml:space="preserve"> </w:t>
      </w:r>
      <w:r w:rsidR="00AD62B0" w:rsidRPr="006A2CC4">
        <w:t>sju av de nio</w:t>
      </w:r>
      <w:r w:rsidR="000F7431" w:rsidRPr="006A2CC4">
        <w:rPr>
          <w:rStyle w:val="Fotnotsreferens"/>
        </w:rPr>
        <w:footnoteReference w:id="22"/>
      </w:r>
      <w:r w:rsidR="00002664" w:rsidRPr="006A2CC4">
        <w:t xml:space="preserve"> </w:t>
      </w:r>
      <w:r w:rsidR="00AD62B0" w:rsidRPr="006A2CC4">
        <w:t xml:space="preserve">delmålen har överträffats eller uppnåtts i det närmaste. </w:t>
      </w:r>
      <w:r w:rsidR="00002664" w:rsidRPr="006A2CC4">
        <w:t>De två delmålen f</w:t>
      </w:r>
      <w:r w:rsidR="00AD62B0" w:rsidRPr="006A2CC4">
        <w:t>ör programområde A2</w:t>
      </w:r>
      <w:r w:rsidR="00002664" w:rsidRPr="006A2CC4">
        <w:t xml:space="preserve"> (Öka möjligheten till ett inkluderande och hållbart arbetsliv för alla) har inte uppnåtts. Detta förklaras av att insatser för barn och unga från 13 år för att förebygga skolavhopp </w:t>
      </w:r>
      <w:proofErr w:type="gramStart"/>
      <w:r w:rsidR="00002664" w:rsidRPr="006A2CC4">
        <w:t>m.m.</w:t>
      </w:r>
      <w:proofErr w:type="gramEnd"/>
      <w:r w:rsidR="00002664" w:rsidRPr="006A2CC4">
        <w:t xml:space="preserve"> (i såväl mer utvecklade regioner som övergångsregionen) prioriterades i inledningen av programgenomförandet. För dessa tillämpas </w:t>
      </w:r>
      <w:r w:rsidR="000A55F5">
        <w:t>varken</w:t>
      </w:r>
      <w:r w:rsidR="000A55F5" w:rsidRPr="006A2CC4">
        <w:t xml:space="preserve"> </w:t>
      </w:r>
      <w:r w:rsidR="000F7431" w:rsidRPr="006A2CC4">
        <w:t>utfallsindikatorer eller resultatindikatorer</w:t>
      </w:r>
      <w:r w:rsidR="006F4E1C" w:rsidRPr="006A2CC4">
        <w:t xml:space="preserve">. </w:t>
      </w:r>
      <w:r w:rsidR="00A22C6B">
        <w:t xml:space="preserve"> S</w:t>
      </w:r>
      <w:r w:rsidR="00A425D8" w:rsidRPr="00CF04B4">
        <w:t xml:space="preserve">lutmålen </w:t>
      </w:r>
      <w:r w:rsidR="006F4E1C" w:rsidRPr="00CF04B4">
        <w:t xml:space="preserve">för </w:t>
      </w:r>
      <w:r w:rsidR="006B6EE1">
        <w:t xml:space="preserve">utfallsindikatorerna för </w:t>
      </w:r>
      <w:r w:rsidR="006F4E1C" w:rsidRPr="00CF04B4">
        <w:t xml:space="preserve">programområde </w:t>
      </w:r>
      <w:r w:rsidR="005E6B63">
        <w:t>A</w:t>
      </w:r>
      <w:r w:rsidR="006F4E1C" w:rsidRPr="00CF04B4">
        <w:t xml:space="preserve">2 </w:t>
      </w:r>
      <w:r w:rsidR="000E6116" w:rsidRPr="00CF04B4">
        <w:t>be</w:t>
      </w:r>
      <w:r w:rsidR="00F85F42">
        <w:t xml:space="preserve">döms </w:t>
      </w:r>
      <w:r w:rsidR="00A22C6B">
        <w:t xml:space="preserve">kunna </w:t>
      </w:r>
      <w:r w:rsidR="00A425D8" w:rsidRPr="00CF04B4">
        <w:t>uppnås</w:t>
      </w:r>
      <w:r w:rsidR="009B5E2C">
        <w:t xml:space="preserve">, även </w:t>
      </w:r>
      <w:r w:rsidR="00D94F83">
        <w:t>vid en</w:t>
      </w:r>
      <w:r w:rsidR="009B5E2C">
        <w:t xml:space="preserve"> justering av slutmålen med anledning av </w:t>
      </w:r>
      <w:r w:rsidR="00265BED">
        <w:t>justerad</w:t>
      </w:r>
      <w:r w:rsidR="004C194C">
        <w:t xml:space="preserve"> valutakurs</w:t>
      </w:r>
      <w:r w:rsidR="009B5E2C">
        <w:t>.</w:t>
      </w:r>
      <w:r w:rsidR="00921682">
        <w:t xml:space="preserve"> </w:t>
      </w:r>
      <w:r w:rsidR="00D94F83">
        <w:t>Delmålet för</w:t>
      </w:r>
      <w:r w:rsidR="006F4E1C" w:rsidRPr="00921682">
        <w:t xml:space="preserve"> p</w:t>
      </w:r>
      <w:r w:rsidR="000E6116" w:rsidRPr="00921682">
        <w:t xml:space="preserve">rogramområde B </w:t>
      </w:r>
      <w:r w:rsidR="00B53278">
        <w:t>(</w:t>
      </w:r>
      <w:r w:rsidR="00B53278" w:rsidRPr="00B53278">
        <w:t>Öka möjligheten till arbete</w:t>
      </w:r>
      <w:r w:rsidR="00B53278">
        <w:t xml:space="preserve">) </w:t>
      </w:r>
      <w:r w:rsidR="00D94F83" w:rsidRPr="00D94F83">
        <w:t>har överträffats väsentligt</w:t>
      </w:r>
      <w:r w:rsidR="00D94F83">
        <w:t xml:space="preserve">, i </w:t>
      </w:r>
      <w:r w:rsidR="00D94F83" w:rsidRPr="00D94F83">
        <w:t xml:space="preserve">huvudsak </w:t>
      </w:r>
      <w:r w:rsidR="00D94F83">
        <w:t>med anledning av</w:t>
      </w:r>
      <w:r w:rsidR="00D94F83" w:rsidRPr="00D94F83">
        <w:t xml:space="preserve"> den budgeteringsmodell som tillämpas för programområdet.</w:t>
      </w:r>
      <w:r w:rsidR="00D94F83">
        <w:t xml:space="preserve"> Mot denna bakgrund föreslås att slutmålet för program</w:t>
      </w:r>
      <w:r w:rsidR="00970DA2">
        <w:t>o</w:t>
      </w:r>
      <w:r w:rsidR="00D94F83">
        <w:t>mråde B</w:t>
      </w:r>
      <w:r w:rsidR="00B53278">
        <w:t xml:space="preserve"> </w:t>
      </w:r>
      <w:r w:rsidR="00C04793">
        <w:t>revideras</w:t>
      </w:r>
      <w:r w:rsidR="00B53278">
        <w:t xml:space="preserve"> upp</w:t>
      </w:r>
      <w:r w:rsidR="007854AE">
        <w:t xml:space="preserve"> ytterligare</w:t>
      </w:r>
      <w:r w:rsidR="00B53278">
        <w:t>.</w:t>
      </w:r>
    </w:p>
    <w:p w14:paraId="43C846B8" w14:textId="01B8242B" w:rsidR="00493895" w:rsidRDefault="00144598" w:rsidP="00983E0D">
      <w:pPr>
        <w:pStyle w:val="Rubrik1"/>
      </w:pPr>
      <w:bookmarkStart w:id="11" w:name="_Hlk187306331"/>
      <w:r w:rsidRPr="004768F3">
        <w:t xml:space="preserve">Regeringens </w:t>
      </w:r>
      <w:r w:rsidR="005F7B84">
        <w:t xml:space="preserve">sammanfattande </w:t>
      </w:r>
      <w:r w:rsidR="001B46C9">
        <w:t>bedömn</w:t>
      </w:r>
      <w:r w:rsidR="00E06813">
        <w:t>i</w:t>
      </w:r>
      <w:r w:rsidR="001B46C9">
        <w:t xml:space="preserve">ngar </w:t>
      </w:r>
      <w:r w:rsidR="00A07590">
        <w:t>och förslag</w:t>
      </w:r>
    </w:p>
    <w:p w14:paraId="2F23FB05" w14:textId="599B24F8" w:rsidR="00C974FE" w:rsidRDefault="004E1C36" w:rsidP="004E1C36">
      <w:pPr>
        <w:pStyle w:val="Brdtext"/>
      </w:pPr>
      <w:r>
        <w:t xml:space="preserve">I det föregående har resultat och bedömningar </w:t>
      </w:r>
      <w:r w:rsidR="00061251">
        <w:t xml:space="preserve">för </w:t>
      </w:r>
      <w:r>
        <w:t xml:space="preserve">halvtidsöversynen redovisats utifrån de aspekter som </w:t>
      </w:r>
      <w:r w:rsidR="00A42589">
        <w:t xml:space="preserve">ska beaktas </w:t>
      </w:r>
      <w:r>
        <w:t xml:space="preserve">i enlighet med </w:t>
      </w:r>
      <w:r w:rsidR="00A42589">
        <w:t>artikel 18 i Europaparlamentets och rådets förordning (EU) 2021/1060.</w:t>
      </w:r>
      <w:r w:rsidR="00751630">
        <w:t xml:space="preserve"> </w:t>
      </w:r>
    </w:p>
    <w:p w14:paraId="59FF9CD7" w14:textId="29546D58" w:rsidR="00352925" w:rsidRDefault="00F85F42" w:rsidP="004E1C36">
      <w:pPr>
        <w:pStyle w:val="Brdtext"/>
      </w:pPr>
      <w:r>
        <w:t xml:space="preserve">Regeringen </w:t>
      </w:r>
      <w:r w:rsidR="00C712BB">
        <w:t xml:space="preserve">bedömer </w:t>
      </w:r>
      <w:r w:rsidR="005E6B63">
        <w:t xml:space="preserve">att genomförandet av programmet för ESF+ uppfyller </w:t>
      </w:r>
      <w:r w:rsidR="00590DC2">
        <w:t xml:space="preserve">respektive </w:t>
      </w:r>
      <w:r w:rsidR="005E6B63">
        <w:t>bidrar till de berörda landspecifika rekommendationerna</w:t>
      </w:r>
      <w:r w:rsidR="005A3B68">
        <w:t xml:space="preserve"> för 2024</w:t>
      </w:r>
      <w:r w:rsidR="005E6B63">
        <w:t xml:space="preserve">. Insatserna ligger även </w:t>
      </w:r>
      <w:r w:rsidR="009909C0">
        <w:t xml:space="preserve">väl i linje med de för programmet centrala principerna i den </w:t>
      </w:r>
      <w:r w:rsidR="00476C60">
        <w:t xml:space="preserve">europeiska pelaren för </w:t>
      </w:r>
      <w:r w:rsidR="009909C0">
        <w:t xml:space="preserve">sociala </w:t>
      </w:r>
      <w:r w:rsidR="00476C60">
        <w:t>rättigheter</w:t>
      </w:r>
      <w:r w:rsidR="009909C0">
        <w:t xml:space="preserve">. Programmets breda inriktning och flexibla utformning </w:t>
      </w:r>
      <w:r w:rsidR="00EC1B0F">
        <w:t xml:space="preserve">innebär </w:t>
      </w:r>
      <w:r w:rsidR="0021734D">
        <w:t xml:space="preserve">att </w:t>
      </w:r>
      <w:r w:rsidR="00EC1B0F">
        <w:t>det fortsatt kan bidra till att möta utmaningarna på arbets</w:t>
      </w:r>
      <w:r w:rsidR="00C77FDD">
        <w:t>marknaden</w:t>
      </w:r>
      <w:r w:rsidR="0021734D">
        <w:t xml:space="preserve"> i den aktuella socioekonomiska utvecklingen</w:t>
      </w:r>
      <w:r w:rsidR="00C77FDD">
        <w:t>.</w:t>
      </w:r>
      <w:r w:rsidR="0021734D">
        <w:t xml:space="preserve"> </w:t>
      </w:r>
      <w:r w:rsidR="008213D2">
        <w:t xml:space="preserve">Det har vidare konstaterats att det ännu inte finns några utvärderingsresultat att beakta i halvtidsöversynen. </w:t>
      </w:r>
      <w:r w:rsidR="00D75F60">
        <w:t xml:space="preserve">I </w:t>
      </w:r>
      <w:r w:rsidR="00DC1B12">
        <w:t xml:space="preserve">uppföljningen av delmålen </w:t>
      </w:r>
      <w:r w:rsidR="00D75F60">
        <w:t>framgår att flertalet delmål per 2024 har uppnåtts</w:t>
      </w:r>
      <w:r w:rsidR="003732B0">
        <w:t xml:space="preserve"> och de </w:t>
      </w:r>
      <w:r w:rsidR="001078C5">
        <w:t xml:space="preserve">hittillsvarande </w:t>
      </w:r>
      <w:r w:rsidR="003732B0">
        <w:t>slutliga målen för 2029</w:t>
      </w:r>
      <w:r w:rsidR="00BD1C10">
        <w:t xml:space="preserve"> </w:t>
      </w:r>
      <w:r w:rsidR="00B53278">
        <w:t xml:space="preserve">bedöms </w:t>
      </w:r>
      <w:r w:rsidR="00BD1C10">
        <w:t>uppnås.</w:t>
      </w:r>
      <w:r w:rsidR="008036C1">
        <w:t xml:space="preserve"> </w:t>
      </w:r>
      <w:r w:rsidR="001078C5">
        <w:t>M</w:t>
      </w:r>
      <w:r w:rsidR="00A24913">
        <w:t xml:space="preserve">ed anledning </w:t>
      </w:r>
      <w:r w:rsidR="001078C5">
        <w:t xml:space="preserve">av </w:t>
      </w:r>
      <w:r w:rsidR="00FA6E10">
        <w:t xml:space="preserve">den av regeringen beslutade justeringen av den valutakurs som ska tillämpas </w:t>
      </w:r>
      <w:r w:rsidR="00A24913">
        <w:t xml:space="preserve">vid beräkning av de finansiella ramarna </w:t>
      </w:r>
      <w:r w:rsidR="00B53278">
        <w:t xml:space="preserve">föreslås att </w:t>
      </w:r>
      <w:r w:rsidR="003B6845">
        <w:t>m</w:t>
      </w:r>
      <w:r w:rsidR="00FA6E10">
        <w:t>ålen för 2029 för utfallsindikatorerna i programmet för ESF+ revideras</w:t>
      </w:r>
      <w:r w:rsidR="00B53278">
        <w:t xml:space="preserve"> upp</w:t>
      </w:r>
      <w:r w:rsidR="00A24913">
        <w:t xml:space="preserve">. </w:t>
      </w:r>
      <w:r w:rsidR="00B53278" w:rsidRPr="00B53278">
        <w:t xml:space="preserve">Vidare föreslår regeringen en </w:t>
      </w:r>
      <w:r w:rsidR="00AF75FB">
        <w:t xml:space="preserve">ytterligare </w:t>
      </w:r>
      <w:r w:rsidR="00B53278" w:rsidRPr="00B53278">
        <w:t>uppräkning av slutmålet för programområde B (Öka möjligheten till arbete). I huvudsak med anledning av den budgeteringsmodell som tillämpas för programområdet.</w:t>
      </w:r>
      <w:r w:rsidR="00A24913" w:rsidRPr="00B53278">
        <w:rPr>
          <w:highlight w:val="yellow"/>
        </w:rPr>
        <w:t xml:space="preserve"> </w:t>
      </w:r>
    </w:p>
    <w:p w14:paraId="17715EC1" w14:textId="2284CDAA" w:rsidR="004E1C36" w:rsidRDefault="004E1C36" w:rsidP="004E1C36">
      <w:pPr>
        <w:pStyle w:val="Brdtext"/>
      </w:pPr>
      <w:r w:rsidRPr="00612C99">
        <w:lastRenderedPageBreak/>
        <w:t xml:space="preserve">Regeringen </w:t>
      </w:r>
      <w:r w:rsidR="00B53278">
        <w:t>bedömer</w:t>
      </w:r>
      <w:r w:rsidR="00A07590" w:rsidRPr="00612C99">
        <w:t xml:space="preserve"> </w:t>
      </w:r>
      <w:r w:rsidRPr="00612C99">
        <w:t xml:space="preserve">att det </w:t>
      </w:r>
      <w:r w:rsidR="00A47659" w:rsidRPr="00612C99">
        <w:t xml:space="preserve">inte </w:t>
      </w:r>
      <w:r w:rsidRPr="00612C99">
        <w:t xml:space="preserve">finns behov av en omfördelning </w:t>
      </w:r>
      <w:r w:rsidR="00A47659" w:rsidRPr="00612C99">
        <w:t xml:space="preserve">inom programmet för ESF+ </w:t>
      </w:r>
      <w:r w:rsidR="009E669E" w:rsidRPr="00612C99">
        <w:t xml:space="preserve">av </w:t>
      </w:r>
      <w:r w:rsidRPr="00612C99">
        <w:t>flexibilitetsbelopp</w:t>
      </w:r>
      <w:r w:rsidR="004A1C1B" w:rsidRPr="00612C99">
        <w:t>et</w:t>
      </w:r>
      <w:r w:rsidRPr="00612C99">
        <w:t xml:space="preserve">. Regeringen föreslår </w:t>
      </w:r>
      <w:r w:rsidR="003C7761" w:rsidRPr="00612C99">
        <w:t xml:space="preserve">därför </w:t>
      </w:r>
      <w:r w:rsidRPr="00612C99">
        <w:t xml:space="preserve">att </w:t>
      </w:r>
      <w:r w:rsidR="000A6936" w:rsidRPr="00612C99">
        <w:t>de</w:t>
      </w:r>
      <w:r w:rsidR="00751630" w:rsidRPr="00612C99">
        <w:t>t</w:t>
      </w:r>
      <w:r w:rsidR="000A6936" w:rsidRPr="00612C99">
        <w:t xml:space="preserve"> </w:t>
      </w:r>
      <w:r w:rsidRPr="00612C99">
        <w:t>flexibilitetsbelopp</w:t>
      </w:r>
      <w:r w:rsidR="00C9415D" w:rsidRPr="00612C99">
        <w:t xml:space="preserve"> </w:t>
      </w:r>
      <w:r w:rsidRPr="00612C99">
        <w:t xml:space="preserve">per programområde som framgår av tabell 11 i programmet för ESF+ slutgiltigt tilldelas respektive programområde.  </w:t>
      </w:r>
    </w:p>
    <w:p w14:paraId="654F7D7F" w14:textId="690ADB62" w:rsidR="004E5A25" w:rsidRDefault="00BD0DFD" w:rsidP="004E1C36">
      <w:pPr>
        <w:pStyle w:val="Brdtext"/>
      </w:pPr>
      <w:r>
        <w:t xml:space="preserve">Vidare föreslår regeringen följande </w:t>
      </w:r>
      <w:r w:rsidR="001B76D0">
        <w:t xml:space="preserve">revideringar </w:t>
      </w:r>
      <w:r>
        <w:t>av målen för 2029 i programmet för ESF+</w:t>
      </w:r>
      <w:r w:rsidR="00380113">
        <w:t>.</w:t>
      </w:r>
      <w:r w:rsidR="0062666D">
        <w:t xml:space="preserve"> </w:t>
      </w:r>
      <w:r>
        <w:t xml:space="preserve"> </w:t>
      </w:r>
    </w:p>
    <w:tbl>
      <w:tblPr>
        <w:tblStyle w:val="Tabellrutnt"/>
        <w:tblW w:w="0" w:type="auto"/>
        <w:tblLook w:val="04A0" w:firstRow="1" w:lastRow="0" w:firstColumn="1" w:lastColumn="0" w:noHBand="0" w:noVBand="1"/>
      </w:tblPr>
      <w:tblGrid>
        <w:gridCol w:w="2122"/>
        <w:gridCol w:w="2365"/>
        <w:gridCol w:w="1546"/>
        <w:gridCol w:w="1412"/>
      </w:tblGrid>
      <w:tr w:rsidR="0062666D" w14:paraId="1A9F25A4" w14:textId="77777777" w:rsidTr="004845F3">
        <w:tc>
          <w:tcPr>
            <w:tcW w:w="2122" w:type="dxa"/>
            <w:tcBorders>
              <w:top w:val="single" w:sz="4" w:space="0" w:color="auto"/>
              <w:left w:val="single" w:sz="4" w:space="0" w:color="auto"/>
              <w:bottom w:val="single" w:sz="4" w:space="0" w:color="auto"/>
              <w:right w:val="single" w:sz="4" w:space="0" w:color="auto"/>
            </w:tcBorders>
            <w:hideMark/>
          </w:tcPr>
          <w:p w14:paraId="03534981" w14:textId="77777777" w:rsidR="0062666D" w:rsidRDefault="0062666D">
            <w:pPr>
              <w:tabs>
                <w:tab w:val="left" w:pos="1701"/>
                <w:tab w:val="left" w:pos="3600"/>
                <w:tab w:val="left" w:pos="5387"/>
              </w:tabs>
              <w:rPr>
                <w:b/>
                <w:bCs/>
              </w:rPr>
            </w:pPr>
            <w:r>
              <w:rPr>
                <w:b/>
                <w:bCs/>
              </w:rPr>
              <w:t xml:space="preserve">Programområde (PO) och utfallsindikator </w:t>
            </w:r>
          </w:p>
        </w:tc>
        <w:tc>
          <w:tcPr>
            <w:tcW w:w="2365" w:type="dxa"/>
            <w:tcBorders>
              <w:top w:val="single" w:sz="4" w:space="0" w:color="auto"/>
              <w:left w:val="single" w:sz="4" w:space="0" w:color="auto"/>
              <w:bottom w:val="single" w:sz="4" w:space="0" w:color="auto"/>
              <w:right w:val="single" w:sz="4" w:space="0" w:color="auto"/>
            </w:tcBorders>
            <w:hideMark/>
          </w:tcPr>
          <w:p w14:paraId="2D377E34" w14:textId="77777777" w:rsidR="0062666D" w:rsidRDefault="0062666D" w:rsidP="00D61306">
            <w:pPr>
              <w:tabs>
                <w:tab w:val="left" w:pos="1701"/>
                <w:tab w:val="left" w:pos="3600"/>
                <w:tab w:val="left" w:pos="5387"/>
              </w:tabs>
              <w:jc w:val="center"/>
              <w:rPr>
                <w:b/>
                <w:bCs/>
              </w:rPr>
            </w:pPr>
            <w:r>
              <w:rPr>
                <w:b/>
                <w:bCs/>
              </w:rPr>
              <w:t>Nuvarande mål</w:t>
            </w:r>
          </w:p>
        </w:tc>
        <w:tc>
          <w:tcPr>
            <w:tcW w:w="0" w:type="auto"/>
            <w:tcBorders>
              <w:top w:val="single" w:sz="4" w:space="0" w:color="auto"/>
              <w:left w:val="single" w:sz="4" w:space="0" w:color="auto"/>
              <w:bottom w:val="single" w:sz="4" w:space="0" w:color="auto"/>
              <w:right w:val="single" w:sz="4" w:space="0" w:color="auto"/>
            </w:tcBorders>
            <w:hideMark/>
          </w:tcPr>
          <w:p w14:paraId="44F16E67" w14:textId="13AD720C" w:rsidR="0062666D" w:rsidRDefault="0062666D" w:rsidP="00D61306">
            <w:pPr>
              <w:tabs>
                <w:tab w:val="left" w:pos="1701"/>
                <w:tab w:val="left" w:pos="3600"/>
                <w:tab w:val="left" w:pos="5387"/>
              </w:tabs>
              <w:jc w:val="center"/>
              <w:rPr>
                <w:b/>
                <w:bCs/>
              </w:rPr>
            </w:pPr>
            <w:r>
              <w:rPr>
                <w:b/>
                <w:bCs/>
              </w:rPr>
              <w:t xml:space="preserve">Förslag till </w:t>
            </w:r>
            <w:r w:rsidR="00533A04">
              <w:rPr>
                <w:b/>
                <w:bCs/>
              </w:rPr>
              <w:t xml:space="preserve">nytt </w:t>
            </w:r>
            <w:r>
              <w:rPr>
                <w:b/>
                <w:bCs/>
              </w:rPr>
              <w:t>mål</w:t>
            </w:r>
          </w:p>
        </w:tc>
        <w:tc>
          <w:tcPr>
            <w:tcW w:w="0" w:type="auto"/>
            <w:tcBorders>
              <w:top w:val="single" w:sz="4" w:space="0" w:color="auto"/>
              <w:left w:val="single" w:sz="4" w:space="0" w:color="auto"/>
              <w:bottom w:val="single" w:sz="4" w:space="0" w:color="auto"/>
              <w:right w:val="single" w:sz="4" w:space="0" w:color="auto"/>
            </w:tcBorders>
            <w:hideMark/>
          </w:tcPr>
          <w:p w14:paraId="7D254A45" w14:textId="77777777" w:rsidR="0062666D" w:rsidRDefault="0062666D" w:rsidP="00D61306">
            <w:pPr>
              <w:tabs>
                <w:tab w:val="left" w:pos="1701"/>
                <w:tab w:val="left" w:pos="3600"/>
                <w:tab w:val="left" w:pos="5387"/>
              </w:tabs>
              <w:jc w:val="center"/>
              <w:rPr>
                <w:b/>
                <w:bCs/>
              </w:rPr>
            </w:pPr>
            <w:r>
              <w:rPr>
                <w:b/>
                <w:bCs/>
              </w:rPr>
              <w:t>Förändring</w:t>
            </w:r>
          </w:p>
        </w:tc>
      </w:tr>
      <w:tr w:rsidR="0062666D" w14:paraId="6C4B3AA3" w14:textId="77777777" w:rsidTr="004845F3">
        <w:tc>
          <w:tcPr>
            <w:tcW w:w="2122" w:type="dxa"/>
            <w:tcBorders>
              <w:top w:val="single" w:sz="4" w:space="0" w:color="auto"/>
              <w:left w:val="single" w:sz="4" w:space="0" w:color="auto"/>
              <w:bottom w:val="single" w:sz="4" w:space="0" w:color="auto"/>
              <w:right w:val="single" w:sz="4" w:space="0" w:color="auto"/>
            </w:tcBorders>
          </w:tcPr>
          <w:p w14:paraId="1EEC327B" w14:textId="77777777" w:rsidR="00EC49A2" w:rsidRDefault="0062666D">
            <w:pPr>
              <w:tabs>
                <w:tab w:val="left" w:pos="1701"/>
                <w:tab w:val="left" w:pos="3600"/>
                <w:tab w:val="left" w:pos="5387"/>
              </w:tabs>
            </w:pPr>
            <w:r>
              <w:t>PO</w:t>
            </w:r>
            <w:r w:rsidR="00EC49A2">
              <w:t xml:space="preserve"> </w:t>
            </w:r>
            <w:r>
              <w:t xml:space="preserve">A1 </w:t>
            </w:r>
          </w:p>
          <w:p w14:paraId="6673BFB2" w14:textId="76B1D2AD" w:rsidR="0062666D" w:rsidRDefault="0062666D">
            <w:pPr>
              <w:tabs>
                <w:tab w:val="left" w:pos="1701"/>
                <w:tab w:val="left" w:pos="3600"/>
                <w:tab w:val="left" w:pos="5387"/>
              </w:tabs>
            </w:pPr>
            <w:r>
              <w:t xml:space="preserve">Antal deltagare </w:t>
            </w:r>
          </w:p>
          <w:p w14:paraId="018DF592" w14:textId="77777777" w:rsidR="0062666D" w:rsidRDefault="0062666D">
            <w:pPr>
              <w:tabs>
                <w:tab w:val="left" w:pos="1701"/>
                <w:tab w:val="left" w:pos="3600"/>
                <w:tab w:val="left" w:pos="5387"/>
              </w:tabs>
              <w:rPr>
                <w:i/>
                <w:iCs/>
              </w:rPr>
            </w:pPr>
            <w:r>
              <w:rPr>
                <w:i/>
                <w:iCs/>
              </w:rPr>
              <w:t>Mer utvecklade regioner</w:t>
            </w:r>
          </w:p>
          <w:p w14:paraId="3E1296B7" w14:textId="77777777" w:rsidR="0062666D" w:rsidRDefault="0062666D">
            <w:pPr>
              <w:tabs>
                <w:tab w:val="left" w:pos="1701"/>
                <w:tab w:val="left" w:pos="3600"/>
                <w:tab w:val="left" w:pos="5387"/>
              </w:tabs>
              <w:rPr>
                <w:i/>
                <w:iCs/>
              </w:rPr>
            </w:pPr>
          </w:p>
        </w:tc>
        <w:tc>
          <w:tcPr>
            <w:tcW w:w="2365" w:type="dxa"/>
            <w:tcBorders>
              <w:top w:val="single" w:sz="4" w:space="0" w:color="auto"/>
              <w:left w:val="single" w:sz="4" w:space="0" w:color="auto"/>
              <w:bottom w:val="single" w:sz="4" w:space="0" w:color="auto"/>
              <w:right w:val="single" w:sz="4" w:space="0" w:color="auto"/>
            </w:tcBorders>
            <w:hideMark/>
          </w:tcPr>
          <w:p w14:paraId="6A2CB88E" w14:textId="77777777" w:rsidR="0062666D" w:rsidRDefault="0062666D" w:rsidP="00D61306">
            <w:pPr>
              <w:tabs>
                <w:tab w:val="left" w:pos="1701"/>
                <w:tab w:val="left" w:pos="3600"/>
                <w:tab w:val="left" w:pos="5387"/>
              </w:tabs>
              <w:jc w:val="center"/>
            </w:pPr>
            <w:r>
              <w:t>91 439</w:t>
            </w:r>
          </w:p>
        </w:tc>
        <w:tc>
          <w:tcPr>
            <w:tcW w:w="0" w:type="auto"/>
            <w:tcBorders>
              <w:top w:val="single" w:sz="4" w:space="0" w:color="auto"/>
              <w:left w:val="single" w:sz="4" w:space="0" w:color="auto"/>
              <w:bottom w:val="single" w:sz="4" w:space="0" w:color="auto"/>
              <w:right w:val="single" w:sz="4" w:space="0" w:color="auto"/>
            </w:tcBorders>
            <w:hideMark/>
          </w:tcPr>
          <w:p w14:paraId="50B10F3A" w14:textId="36FB99FB" w:rsidR="0062666D" w:rsidRDefault="00533A04" w:rsidP="00D61306">
            <w:pPr>
              <w:tabs>
                <w:tab w:val="left" w:pos="1701"/>
                <w:tab w:val="left" w:pos="3600"/>
                <w:tab w:val="left" w:pos="5387"/>
              </w:tabs>
              <w:jc w:val="center"/>
            </w:pPr>
            <w:r>
              <w:t>103 238</w:t>
            </w:r>
          </w:p>
        </w:tc>
        <w:tc>
          <w:tcPr>
            <w:tcW w:w="0" w:type="auto"/>
            <w:tcBorders>
              <w:top w:val="single" w:sz="4" w:space="0" w:color="auto"/>
              <w:left w:val="single" w:sz="4" w:space="0" w:color="auto"/>
              <w:bottom w:val="single" w:sz="4" w:space="0" w:color="auto"/>
              <w:right w:val="single" w:sz="4" w:space="0" w:color="auto"/>
            </w:tcBorders>
            <w:hideMark/>
          </w:tcPr>
          <w:p w14:paraId="33A216A3" w14:textId="07DB84FF" w:rsidR="0062666D" w:rsidRDefault="0062666D" w:rsidP="00D61306">
            <w:pPr>
              <w:tabs>
                <w:tab w:val="left" w:pos="1701"/>
                <w:tab w:val="left" w:pos="3600"/>
                <w:tab w:val="left" w:pos="5387"/>
              </w:tabs>
              <w:jc w:val="center"/>
            </w:pPr>
            <w:r>
              <w:t>+</w:t>
            </w:r>
            <w:r w:rsidR="00914B07">
              <w:t>11</w:t>
            </w:r>
            <w:r>
              <w:t xml:space="preserve"> </w:t>
            </w:r>
            <w:r w:rsidR="00914B07">
              <w:t>799</w:t>
            </w:r>
          </w:p>
        </w:tc>
      </w:tr>
      <w:tr w:rsidR="0062666D" w14:paraId="424F8826" w14:textId="77777777" w:rsidTr="004845F3">
        <w:tc>
          <w:tcPr>
            <w:tcW w:w="2122" w:type="dxa"/>
            <w:tcBorders>
              <w:top w:val="single" w:sz="4" w:space="0" w:color="auto"/>
              <w:left w:val="single" w:sz="4" w:space="0" w:color="auto"/>
              <w:bottom w:val="single" w:sz="4" w:space="0" w:color="auto"/>
              <w:right w:val="single" w:sz="4" w:space="0" w:color="auto"/>
            </w:tcBorders>
          </w:tcPr>
          <w:p w14:paraId="7B32357B" w14:textId="77777777" w:rsidR="00EC49A2" w:rsidRDefault="0062666D">
            <w:pPr>
              <w:tabs>
                <w:tab w:val="left" w:pos="1701"/>
                <w:tab w:val="left" w:pos="3600"/>
                <w:tab w:val="left" w:pos="5387"/>
              </w:tabs>
            </w:pPr>
            <w:r>
              <w:t>PO</w:t>
            </w:r>
            <w:r w:rsidR="00EC49A2">
              <w:t xml:space="preserve"> </w:t>
            </w:r>
            <w:r>
              <w:t xml:space="preserve">A1 </w:t>
            </w:r>
          </w:p>
          <w:p w14:paraId="1D156DBD" w14:textId="7BB8CA34" w:rsidR="0062666D" w:rsidRDefault="0062666D">
            <w:pPr>
              <w:tabs>
                <w:tab w:val="left" w:pos="1701"/>
                <w:tab w:val="left" w:pos="3600"/>
                <w:tab w:val="left" w:pos="5387"/>
              </w:tabs>
            </w:pPr>
            <w:r>
              <w:t xml:space="preserve">Antal deltagare </w:t>
            </w:r>
          </w:p>
          <w:p w14:paraId="5A1F9C23" w14:textId="77777777" w:rsidR="0062666D" w:rsidRDefault="0062666D">
            <w:pPr>
              <w:tabs>
                <w:tab w:val="left" w:pos="1701"/>
                <w:tab w:val="left" w:pos="3600"/>
                <w:tab w:val="left" w:pos="5387"/>
              </w:tabs>
              <w:rPr>
                <w:i/>
                <w:iCs/>
              </w:rPr>
            </w:pPr>
            <w:r>
              <w:rPr>
                <w:i/>
                <w:iCs/>
              </w:rPr>
              <w:t>Övergångsregion</w:t>
            </w:r>
          </w:p>
          <w:p w14:paraId="09B5D890" w14:textId="77777777" w:rsidR="0062666D" w:rsidRDefault="0062666D">
            <w:pPr>
              <w:tabs>
                <w:tab w:val="left" w:pos="1701"/>
                <w:tab w:val="left" w:pos="3600"/>
                <w:tab w:val="left" w:pos="5387"/>
              </w:tabs>
            </w:pPr>
          </w:p>
        </w:tc>
        <w:tc>
          <w:tcPr>
            <w:tcW w:w="2365" w:type="dxa"/>
            <w:tcBorders>
              <w:top w:val="single" w:sz="4" w:space="0" w:color="auto"/>
              <w:left w:val="single" w:sz="4" w:space="0" w:color="auto"/>
              <w:bottom w:val="single" w:sz="4" w:space="0" w:color="auto"/>
              <w:right w:val="single" w:sz="4" w:space="0" w:color="auto"/>
            </w:tcBorders>
            <w:hideMark/>
          </w:tcPr>
          <w:p w14:paraId="2041CABB" w14:textId="6B5C0681" w:rsidR="0062666D" w:rsidRDefault="0062666D" w:rsidP="00D61306">
            <w:pPr>
              <w:tabs>
                <w:tab w:val="left" w:pos="1701"/>
                <w:tab w:val="left" w:pos="3600"/>
                <w:tab w:val="left" w:pos="5387"/>
              </w:tabs>
              <w:jc w:val="center"/>
            </w:pPr>
            <w:r>
              <w:t>8 58</w:t>
            </w:r>
            <w:r w:rsidR="00B778FA">
              <w:t>7</w:t>
            </w:r>
          </w:p>
        </w:tc>
        <w:tc>
          <w:tcPr>
            <w:tcW w:w="0" w:type="auto"/>
            <w:tcBorders>
              <w:top w:val="single" w:sz="4" w:space="0" w:color="auto"/>
              <w:left w:val="single" w:sz="4" w:space="0" w:color="auto"/>
              <w:bottom w:val="single" w:sz="4" w:space="0" w:color="auto"/>
              <w:right w:val="single" w:sz="4" w:space="0" w:color="auto"/>
            </w:tcBorders>
            <w:hideMark/>
          </w:tcPr>
          <w:p w14:paraId="170B272D" w14:textId="1F1E8858" w:rsidR="0062666D" w:rsidRDefault="00612C99" w:rsidP="00D61306">
            <w:pPr>
              <w:tabs>
                <w:tab w:val="left" w:pos="1701"/>
                <w:tab w:val="left" w:pos="3600"/>
                <w:tab w:val="left" w:pos="5387"/>
              </w:tabs>
              <w:jc w:val="center"/>
            </w:pPr>
            <w:r>
              <w:t>9 695</w:t>
            </w:r>
          </w:p>
        </w:tc>
        <w:tc>
          <w:tcPr>
            <w:tcW w:w="0" w:type="auto"/>
            <w:tcBorders>
              <w:top w:val="single" w:sz="4" w:space="0" w:color="auto"/>
              <w:left w:val="single" w:sz="4" w:space="0" w:color="auto"/>
              <w:bottom w:val="single" w:sz="4" w:space="0" w:color="auto"/>
              <w:right w:val="single" w:sz="4" w:space="0" w:color="auto"/>
            </w:tcBorders>
            <w:hideMark/>
          </w:tcPr>
          <w:p w14:paraId="21EAA884" w14:textId="687A19F2" w:rsidR="0062666D" w:rsidRDefault="0062666D" w:rsidP="00D61306">
            <w:pPr>
              <w:tabs>
                <w:tab w:val="left" w:pos="1701"/>
                <w:tab w:val="left" w:pos="3600"/>
                <w:tab w:val="left" w:pos="5387"/>
              </w:tabs>
              <w:jc w:val="center"/>
            </w:pPr>
            <w:r>
              <w:t>+</w:t>
            </w:r>
            <w:r w:rsidR="00BF56D8">
              <w:t>1</w:t>
            </w:r>
            <w:r>
              <w:t xml:space="preserve"> </w:t>
            </w:r>
            <w:r w:rsidR="00BF56D8">
              <w:t>1</w:t>
            </w:r>
            <w:r w:rsidR="00FB3E51">
              <w:t>08</w:t>
            </w:r>
          </w:p>
        </w:tc>
      </w:tr>
      <w:tr w:rsidR="0062666D" w14:paraId="1E68ECB9" w14:textId="77777777" w:rsidTr="004845F3">
        <w:tc>
          <w:tcPr>
            <w:tcW w:w="2122" w:type="dxa"/>
            <w:tcBorders>
              <w:top w:val="single" w:sz="4" w:space="0" w:color="auto"/>
              <w:left w:val="single" w:sz="4" w:space="0" w:color="auto"/>
              <w:bottom w:val="single" w:sz="4" w:space="0" w:color="auto"/>
              <w:right w:val="single" w:sz="4" w:space="0" w:color="auto"/>
            </w:tcBorders>
          </w:tcPr>
          <w:p w14:paraId="38ED810F" w14:textId="77777777" w:rsidR="00EC49A2" w:rsidRDefault="0062666D">
            <w:pPr>
              <w:tabs>
                <w:tab w:val="left" w:pos="1701"/>
                <w:tab w:val="left" w:pos="3600"/>
                <w:tab w:val="left" w:pos="5387"/>
              </w:tabs>
            </w:pPr>
            <w:r>
              <w:t>PO</w:t>
            </w:r>
            <w:r w:rsidR="00EC49A2">
              <w:t xml:space="preserve"> </w:t>
            </w:r>
            <w:r>
              <w:t xml:space="preserve">A2 </w:t>
            </w:r>
          </w:p>
          <w:p w14:paraId="0026FC7D" w14:textId="2B60BADD" w:rsidR="0062666D" w:rsidRDefault="0062666D">
            <w:pPr>
              <w:tabs>
                <w:tab w:val="left" w:pos="1701"/>
                <w:tab w:val="left" w:pos="3600"/>
                <w:tab w:val="left" w:pos="5387"/>
              </w:tabs>
            </w:pPr>
            <w:r>
              <w:t xml:space="preserve">Antal deltagare </w:t>
            </w:r>
          </w:p>
          <w:p w14:paraId="72B1035A" w14:textId="77777777" w:rsidR="0062666D" w:rsidRDefault="0062666D">
            <w:pPr>
              <w:tabs>
                <w:tab w:val="left" w:pos="1701"/>
                <w:tab w:val="left" w:pos="3600"/>
                <w:tab w:val="left" w:pos="5387"/>
              </w:tabs>
              <w:rPr>
                <w:i/>
                <w:iCs/>
              </w:rPr>
            </w:pPr>
            <w:r>
              <w:rPr>
                <w:i/>
                <w:iCs/>
              </w:rPr>
              <w:t>Mer utvecklade regioner</w:t>
            </w:r>
          </w:p>
          <w:p w14:paraId="0BDA7987" w14:textId="77777777" w:rsidR="0062666D" w:rsidRDefault="0062666D">
            <w:pPr>
              <w:tabs>
                <w:tab w:val="left" w:pos="1701"/>
                <w:tab w:val="left" w:pos="3600"/>
                <w:tab w:val="left" w:pos="5387"/>
              </w:tabs>
            </w:pPr>
          </w:p>
        </w:tc>
        <w:tc>
          <w:tcPr>
            <w:tcW w:w="2365" w:type="dxa"/>
            <w:tcBorders>
              <w:top w:val="single" w:sz="4" w:space="0" w:color="auto"/>
              <w:left w:val="single" w:sz="4" w:space="0" w:color="auto"/>
              <w:bottom w:val="single" w:sz="4" w:space="0" w:color="auto"/>
              <w:right w:val="single" w:sz="4" w:space="0" w:color="auto"/>
            </w:tcBorders>
            <w:hideMark/>
          </w:tcPr>
          <w:p w14:paraId="5774EC36" w14:textId="77777777" w:rsidR="0062666D" w:rsidRDefault="0062666D" w:rsidP="00D61306">
            <w:pPr>
              <w:tabs>
                <w:tab w:val="left" w:pos="1701"/>
                <w:tab w:val="left" w:pos="3600"/>
                <w:tab w:val="left" w:pos="5387"/>
              </w:tabs>
              <w:jc w:val="center"/>
            </w:pPr>
            <w:r>
              <w:t>47 417</w:t>
            </w:r>
          </w:p>
        </w:tc>
        <w:tc>
          <w:tcPr>
            <w:tcW w:w="0" w:type="auto"/>
            <w:tcBorders>
              <w:top w:val="single" w:sz="4" w:space="0" w:color="auto"/>
              <w:left w:val="single" w:sz="4" w:space="0" w:color="auto"/>
              <w:bottom w:val="single" w:sz="4" w:space="0" w:color="auto"/>
              <w:right w:val="single" w:sz="4" w:space="0" w:color="auto"/>
            </w:tcBorders>
            <w:hideMark/>
          </w:tcPr>
          <w:p w14:paraId="3B96A7FD" w14:textId="1BEA9E88" w:rsidR="0062666D" w:rsidRDefault="007C59DE" w:rsidP="00D61306">
            <w:pPr>
              <w:tabs>
                <w:tab w:val="left" w:pos="1701"/>
                <w:tab w:val="left" w:pos="3600"/>
                <w:tab w:val="left" w:pos="5387"/>
              </w:tabs>
              <w:jc w:val="center"/>
            </w:pPr>
            <w:r>
              <w:t>53 535</w:t>
            </w:r>
          </w:p>
        </w:tc>
        <w:tc>
          <w:tcPr>
            <w:tcW w:w="0" w:type="auto"/>
            <w:tcBorders>
              <w:top w:val="single" w:sz="4" w:space="0" w:color="auto"/>
              <w:left w:val="single" w:sz="4" w:space="0" w:color="auto"/>
              <w:bottom w:val="single" w:sz="4" w:space="0" w:color="auto"/>
              <w:right w:val="single" w:sz="4" w:space="0" w:color="auto"/>
            </w:tcBorders>
            <w:hideMark/>
          </w:tcPr>
          <w:p w14:paraId="1DB75C9E" w14:textId="6A709495" w:rsidR="0062666D" w:rsidRDefault="0062666D" w:rsidP="00D61306">
            <w:pPr>
              <w:tabs>
                <w:tab w:val="left" w:pos="1701"/>
                <w:tab w:val="left" w:pos="3600"/>
                <w:tab w:val="left" w:pos="5387"/>
              </w:tabs>
              <w:jc w:val="center"/>
            </w:pPr>
            <w:r>
              <w:t>+</w:t>
            </w:r>
            <w:r w:rsidR="007C59DE">
              <w:t>6</w:t>
            </w:r>
            <w:r>
              <w:t xml:space="preserve"> </w:t>
            </w:r>
            <w:r w:rsidR="007C59DE">
              <w:t>118</w:t>
            </w:r>
          </w:p>
        </w:tc>
      </w:tr>
      <w:tr w:rsidR="0062666D" w14:paraId="1CC8301A" w14:textId="77777777" w:rsidTr="004845F3">
        <w:tc>
          <w:tcPr>
            <w:tcW w:w="2122" w:type="dxa"/>
            <w:tcBorders>
              <w:top w:val="single" w:sz="4" w:space="0" w:color="auto"/>
              <w:left w:val="single" w:sz="4" w:space="0" w:color="auto"/>
              <w:bottom w:val="single" w:sz="4" w:space="0" w:color="auto"/>
              <w:right w:val="single" w:sz="4" w:space="0" w:color="auto"/>
            </w:tcBorders>
          </w:tcPr>
          <w:p w14:paraId="4C2194D2" w14:textId="77777777" w:rsidR="00EC49A2" w:rsidRDefault="0062666D">
            <w:pPr>
              <w:tabs>
                <w:tab w:val="left" w:pos="1701"/>
                <w:tab w:val="left" w:pos="3600"/>
                <w:tab w:val="left" w:pos="5387"/>
              </w:tabs>
            </w:pPr>
            <w:r>
              <w:t>PO</w:t>
            </w:r>
            <w:r w:rsidR="00EC49A2">
              <w:t xml:space="preserve"> </w:t>
            </w:r>
            <w:r>
              <w:t xml:space="preserve">A2 </w:t>
            </w:r>
          </w:p>
          <w:p w14:paraId="3A4E2816" w14:textId="5ECF273F" w:rsidR="0062666D" w:rsidRDefault="0062666D">
            <w:pPr>
              <w:tabs>
                <w:tab w:val="left" w:pos="1701"/>
                <w:tab w:val="left" w:pos="3600"/>
                <w:tab w:val="left" w:pos="5387"/>
              </w:tabs>
            </w:pPr>
            <w:r>
              <w:t xml:space="preserve">Antal deltagare </w:t>
            </w:r>
          </w:p>
          <w:p w14:paraId="63649447" w14:textId="77777777" w:rsidR="0062666D" w:rsidRDefault="0062666D">
            <w:pPr>
              <w:tabs>
                <w:tab w:val="left" w:pos="1701"/>
                <w:tab w:val="left" w:pos="3600"/>
                <w:tab w:val="left" w:pos="5387"/>
              </w:tabs>
              <w:rPr>
                <w:i/>
                <w:iCs/>
              </w:rPr>
            </w:pPr>
            <w:r>
              <w:rPr>
                <w:i/>
                <w:iCs/>
              </w:rPr>
              <w:t>Övergångsregion</w:t>
            </w:r>
          </w:p>
          <w:p w14:paraId="24996227" w14:textId="77777777" w:rsidR="0062666D" w:rsidRDefault="0062666D">
            <w:pPr>
              <w:tabs>
                <w:tab w:val="left" w:pos="1701"/>
                <w:tab w:val="left" w:pos="3600"/>
                <w:tab w:val="left" w:pos="5387"/>
              </w:tabs>
            </w:pPr>
          </w:p>
        </w:tc>
        <w:tc>
          <w:tcPr>
            <w:tcW w:w="2365" w:type="dxa"/>
            <w:tcBorders>
              <w:top w:val="single" w:sz="4" w:space="0" w:color="auto"/>
              <w:left w:val="single" w:sz="4" w:space="0" w:color="auto"/>
              <w:bottom w:val="single" w:sz="4" w:space="0" w:color="auto"/>
              <w:right w:val="single" w:sz="4" w:space="0" w:color="auto"/>
            </w:tcBorders>
            <w:hideMark/>
          </w:tcPr>
          <w:p w14:paraId="2B573D66" w14:textId="77777777" w:rsidR="0062666D" w:rsidRDefault="0062666D" w:rsidP="00D61306">
            <w:pPr>
              <w:tabs>
                <w:tab w:val="left" w:pos="1701"/>
                <w:tab w:val="left" w:pos="3600"/>
                <w:tab w:val="left" w:pos="5387"/>
              </w:tabs>
              <w:jc w:val="center"/>
            </w:pPr>
            <w:r>
              <w:t>7 444</w:t>
            </w:r>
          </w:p>
        </w:tc>
        <w:tc>
          <w:tcPr>
            <w:tcW w:w="0" w:type="auto"/>
            <w:tcBorders>
              <w:top w:val="single" w:sz="4" w:space="0" w:color="auto"/>
              <w:left w:val="single" w:sz="4" w:space="0" w:color="auto"/>
              <w:bottom w:val="single" w:sz="4" w:space="0" w:color="auto"/>
              <w:right w:val="single" w:sz="4" w:space="0" w:color="auto"/>
            </w:tcBorders>
            <w:hideMark/>
          </w:tcPr>
          <w:p w14:paraId="4CDB339E" w14:textId="448B0909" w:rsidR="0062666D" w:rsidRDefault="00EE5CEE" w:rsidP="00D61306">
            <w:pPr>
              <w:tabs>
                <w:tab w:val="left" w:pos="1701"/>
                <w:tab w:val="left" w:pos="3600"/>
                <w:tab w:val="left" w:pos="5387"/>
              </w:tabs>
              <w:jc w:val="center"/>
            </w:pPr>
            <w:r>
              <w:t>8 404</w:t>
            </w:r>
          </w:p>
        </w:tc>
        <w:tc>
          <w:tcPr>
            <w:tcW w:w="0" w:type="auto"/>
            <w:tcBorders>
              <w:top w:val="single" w:sz="4" w:space="0" w:color="auto"/>
              <w:left w:val="single" w:sz="4" w:space="0" w:color="auto"/>
              <w:bottom w:val="single" w:sz="4" w:space="0" w:color="auto"/>
              <w:right w:val="single" w:sz="4" w:space="0" w:color="auto"/>
            </w:tcBorders>
            <w:hideMark/>
          </w:tcPr>
          <w:p w14:paraId="10580BC5" w14:textId="0E5D5315" w:rsidR="0062666D" w:rsidRDefault="0062666D" w:rsidP="00D61306">
            <w:pPr>
              <w:tabs>
                <w:tab w:val="left" w:pos="1701"/>
                <w:tab w:val="left" w:pos="3600"/>
                <w:tab w:val="left" w:pos="5387"/>
              </w:tabs>
              <w:jc w:val="center"/>
            </w:pPr>
            <w:r>
              <w:t>+</w:t>
            </w:r>
            <w:r w:rsidR="00EE5CEE">
              <w:t>960</w:t>
            </w:r>
          </w:p>
        </w:tc>
      </w:tr>
      <w:tr w:rsidR="0062666D" w14:paraId="1408E0F3" w14:textId="77777777" w:rsidTr="00F07E93">
        <w:tc>
          <w:tcPr>
            <w:tcW w:w="2122" w:type="dxa"/>
            <w:tcBorders>
              <w:top w:val="single" w:sz="4" w:space="0" w:color="auto"/>
              <w:left w:val="single" w:sz="4" w:space="0" w:color="auto"/>
              <w:bottom w:val="single" w:sz="4" w:space="0" w:color="auto"/>
              <w:right w:val="single" w:sz="4" w:space="0" w:color="auto"/>
            </w:tcBorders>
          </w:tcPr>
          <w:p w14:paraId="06FD0060" w14:textId="77777777" w:rsidR="00EC49A2" w:rsidRDefault="0062666D">
            <w:pPr>
              <w:tabs>
                <w:tab w:val="left" w:pos="1701"/>
                <w:tab w:val="left" w:pos="3600"/>
                <w:tab w:val="left" w:pos="5387"/>
              </w:tabs>
            </w:pPr>
            <w:r>
              <w:t>PO</w:t>
            </w:r>
            <w:r w:rsidR="00EC49A2">
              <w:t xml:space="preserve"> </w:t>
            </w:r>
            <w:r>
              <w:t xml:space="preserve">B </w:t>
            </w:r>
          </w:p>
          <w:p w14:paraId="46EA1D60" w14:textId="010063B0" w:rsidR="0062666D" w:rsidRDefault="0062666D">
            <w:pPr>
              <w:tabs>
                <w:tab w:val="left" w:pos="1701"/>
                <w:tab w:val="left" w:pos="3600"/>
                <w:tab w:val="left" w:pos="5387"/>
              </w:tabs>
            </w:pPr>
            <w:r>
              <w:t xml:space="preserve">Antal deltagare </w:t>
            </w:r>
          </w:p>
          <w:p w14:paraId="1E75D41A" w14:textId="77777777" w:rsidR="0062666D" w:rsidRDefault="0062666D">
            <w:pPr>
              <w:tabs>
                <w:tab w:val="left" w:pos="1701"/>
                <w:tab w:val="left" w:pos="3600"/>
                <w:tab w:val="left" w:pos="5387"/>
              </w:tabs>
            </w:pPr>
          </w:p>
        </w:tc>
        <w:tc>
          <w:tcPr>
            <w:tcW w:w="2365" w:type="dxa"/>
            <w:tcBorders>
              <w:top w:val="single" w:sz="4" w:space="0" w:color="auto"/>
              <w:left w:val="single" w:sz="4" w:space="0" w:color="auto"/>
              <w:bottom w:val="single" w:sz="4" w:space="0" w:color="auto"/>
              <w:right w:val="single" w:sz="4" w:space="0" w:color="auto"/>
            </w:tcBorders>
            <w:hideMark/>
          </w:tcPr>
          <w:p w14:paraId="2956B653" w14:textId="217437B0" w:rsidR="0062666D" w:rsidRDefault="0062666D" w:rsidP="00D61306">
            <w:pPr>
              <w:tabs>
                <w:tab w:val="left" w:pos="1701"/>
                <w:tab w:val="left" w:pos="3600"/>
                <w:tab w:val="left" w:pos="5387"/>
              </w:tabs>
              <w:jc w:val="center"/>
            </w:pPr>
            <w:r>
              <w:t>30 203</w:t>
            </w:r>
          </w:p>
        </w:tc>
        <w:tc>
          <w:tcPr>
            <w:tcW w:w="0" w:type="auto"/>
            <w:tcBorders>
              <w:top w:val="single" w:sz="4" w:space="0" w:color="auto"/>
              <w:left w:val="single" w:sz="4" w:space="0" w:color="auto"/>
              <w:bottom w:val="single" w:sz="4" w:space="0" w:color="auto"/>
              <w:right w:val="single" w:sz="4" w:space="0" w:color="auto"/>
            </w:tcBorders>
          </w:tcPr>
          <w:p w14:paraId="546CABA6" w14:textId="0319C060" w:rsidR="00F545C5" w:rsidRPr="00645DC0" w:rsidRDefault="00F545C5" w:rsidP="00D61306">
            <w:pPr>
              <w:tabs>
                <w:tab w:val="left" w:pos="1701"/>
                <w:tab w:val="left" w:pos="3600"/>
                <w:tab w:val="left" w:pos="5387"/>
              </w:tabs>
              <w:jc w:val="center"/>
            </w:pPr>
            <w:r w:rsidRPr="00645DC0">
              <w:t>169 659</w:t>
            </w:r>
          </w:p>
          <w:p w14:paraId="7E9D4F90" w14:textId="2960B982" w:rsidR="0062666D" w:rsidRDefault="0062666D" w:rsidP="00D61306">
            <w:pPr>
              <w:tabs>
                <w:tab w:val="left" w:pos="1701"/>
                <w:tab w:val="left" w:pos="3600"/>
                <w:tab w:val="left" w:pos="5387"/>
              </w:tabs>
              <w:jc w:val="center"/>
            </w:pPr>
          </w:p>
        </w:tc>
        <w:tc>
          <w:tcPr>
            <w:tcW w:w="0" w:type="auto"/>
            <w:tcBorders>
              <w:top w:val="single" w:sz="4" w:space="0" w:color="auto"/>
              <w:left w:val="single" w:sz="4" w:space="0" w:color="auto"/>
              <w:bottom w:val="single" w:sz="4" w:space="0" w:color="auto"/>
              <w:right w:val="single" w:sz="4" w:space="0" w:color="auto"/>
            </w:tcBorders>
          </w:tcPr>
          <w:p w14:paraId="7402371A" w14:textId="1DA303BB" w:rsidR="0062666D" w:rsidRDefault="00F545C5" w:rsidP="00D61306">
            <w:pPr>
              <w:tabs>
                <w:tab w:val="left" w:pos="1701"/>
                <w:tab w:val="left" w:pos="3600"/>
                <w:tab w:val="left" w:pos="5387"/>
              </w:tabs>
              <w:jc w:val="center"/>
            </w:pPr>
            <w:r>
              <w:t>+139 456</w:t>
            </w:r>
          </w:p>
        </w:tc>
      </w:tr>
      <w:tr w:rsidR="0062666D" w14:paraId="0A2F1BFC" w14:textId="77777777" w:rsidTr="004845F3">
        <w:tc>
          <w:tcPr>
            <w:tcW w:w="2122" w:type="dxa"/>
            <w:tcBorders>
              <w:top w:val="single" w:sz="4" w:space="0" w:color="auto"/>
              <w:left w:val="single" w:sz="4" w:space="0" w:color="auto"/>
              <w:bottom w:val="single" w:sz="4" w:space="0" w:color="auto"/>
              <w:right w:val="single" w:sz="4" w:space="0" w:color="auto"/>
            </w:tcBorders>
          </w:tcPr>
          <w:p w14:paraId="7C0A1303" w14:textId="77777777" w:rsidR="00EC49A2" w:rsidRDefault="0062666D">
            <w:pPr>
              <w:tabs>
                <w:tab w:val="left" w:pos="1701"/>
                <w:tab w:val="left" w:pos="3600"/>
                <w:tab w:val="left" w:pos="5387"/>
              </w:tabs>
            </w:pPr>
            <w:r>
              <w:t>PO</w:t>
            </w:r>
            <w:r w:rsidR="00EC49A2">
              <w:t xml:space="preserve"> </w:t>
            </w:r>
            <w:r>
              <w:t xml:space="preserve">C </w:t>
            </w:r>
          </w:p>
          <w:p w14:paraId="33AA9189" w14:textId="3D6237F9" w:rsidR="0062666D" w:rsidRDefault="0062666D">
            <w:pPr>
              <w:tabs>
                <w:tab w:val="left" w:pos="1701"/>
                <w:tab w:val="left" w:pos="3600"/>
                <w:tab w:val="left" w:pos="5387"/>
              </w:tabs>
            </w:pPr>
            <w:r>
              <w:t>Antal deltagare</w:t>
            </w:r>
          </w:p>
          <w:p w14:paraId="319E04A5" w14:textId="77777777" w:rsidR="0062666D" w:rsidRDefault="0062666D">
            <w:pPr>
              <w:tabs>
                <w:tab w:val="left" w:pos="1701"/>
                <w:tab w:val="left" w:pos="3600"/>
                <w:tab w:val="left" w:pos="5387"/>
              </w:tabs>
            </w:pPr>
          </w:p>
        </w:tc>
        <w:tc>
          <w:tcPr>
            <w:tcW w:w="2365" w:type="dxa"/>
            <w:tcBorders>
              <w:top w:val="single" w:sz="4" w:space="0" w:color="auto"/>
              <w:left w:val="single" w:sz="4" w:space="0" w:color="auto"/>
              <w:bottom w:val="single" w:sz="4" w:space="0" w:color="auto"/>
              <w:right w:val="single" w:sz="4" w:space="0" w:color="auto"/>
            </w:tcBorders>
            <w:hideMark/>
          </w:tcPr>
          <w:p w14:paraId="1624F98C" w14:textId="77777777" w:rsidR="0062666D" w:rsidRDefault="0062666D" w:rsidP="00D61306">
            <w:pPr>
              <w:tabs>
                <w:tab w:val="left" w:pos="1701"/>
                <w:tab w:val="left" w:pos="3600"/>
                <w:tab w:val="left" w:pos="5387"/>
              </w:tabs>
              <w:jc w:val="center"/>
            </w:pPr>
            <w:r>
              <w:t>1 030</w:t>
            </w:r>
          </w:p>
        </w:tc>
        <w:tc>
          <w:tcPr>
            <w:tcW w:w="0" w:type="auto"/>
            <w:tcBorders>
              <w:top w:val="single" w:sz="4" w:space="0" w:color="auto"/>
              <w:left w:val="single" w:sz="4" w:space="0" w:color="auto"/>
              <w:bottom w:val="single" w:sz="4" w:space="0" w:color="auto"/>
              <w:right w:val="single" w:sz="4" w:space="0" w:color="auto"/>
            </w:tcBorders>
            <w:hideMark/>
          </w:tcPr>
          <w:p w14:paraId="23862DE7" w14:textId="4FE9287D" w:rsidR="0062666D" w:rsidRDefault="00A33720" w:rsidP="00D61306">
            <w:pPr>
              <w:tabs>
                <w:tab w:val="left" w:pos="1701"/>
                <w:tab w:val="left" w:pos="3600"/>
                <w:tab w:val="left" w:pos="5387"/>
              </w:tabs>
              <w:jc w:val="center"/>
            </w:pPr>
            <w:r>
              <w:t>1 163</w:t>
            </w:r>
          </w:p>
        </w:tc>
        <w:tc>
          <w:tcPr>
            <w:tcW w:w="0" w:type="auto"/>
            <w:tcBorders>
              <w:top w:val="single" w:sz="4" w:space="0" w:color="auto"/>
              <w:left w:val="single" w:sz="4" w:space="0" w:color="auto"/>
              <w:bottom w:val="single" w:sz="4" w:space="0" w:color="auto"/>
              <w:right w:val="single" w:sz="4" w:space="0" w:color="auto"/>
            </w:tcBorders>
            <w:hideMark/>
          </w:tcPr>
          <w:p w14:paraId="6D9BB9AD" w14:textId="6D2162CC" w:rsidR="0062666D" w:rsidRDefault="0062666D" w:rsidP="00D61306">
            <w:pPr>
              <w:tabs>
                <w:tab w:val="left" w:pos="1701"/>
                <w:tab w:val="left" w:pos="3600"/>
                <w:tab w:val="left" w:pos="5387"/>
              </w:tabs>
              <w:jc w:val="center"/>
            </w:pPr>
            <w:r>
              <w:t>+</w:t>
            </w:r>
            <w:r w:rsidR="00A33720">
              <w:t>133</w:t>
            </w:r>
          </w:p>
        </w:tc>
      </w:tr>
      <w:tr w:rsidR="0062666D" w14:paraId="3D6399E5" w14:textId="77777777" w:rsidTr="004845F3">
        <w:tc>
          <w:tcPr>
            <w:tcW w:w="2122" w:type="dxa"/>
            <w:tcBorders>
              <w:top w:val="single" w:sz="4" w:space="0" w:color="auto"/>
              <w:left w:val="single" w:sz="4" w:space="0" w:color="auto"/>
              <w:bottom w:val="single" w:sz="4" w:space="0" w:color="auto"/>
              <w:right w:val="single" w:sz="4" w:space="0" w:color="auto"/>
            </w:tcBorders>
            <w:hideMark/>
          </w:tcPr>
          <w:p w14:paraId="50F2E757" w14:textId="77777777" w:rsidR="00EC49A2" w:rsidRDefault="0062666D">
            <w:pPr>
              <w:tabs>
                <w:tab w:val="left" w:pos="1701"/>
                <w:tab w:val="left" w:pos="3600"/>
                <w:tab w:val="left" w:pos="5387"/>
              </w:tabs>
            </w:pPr>
            <w:r>
              <w:t>PO</w:t>
            </w:r>
            <w:r w:rsidR="00EC49A2">
              <w:t xml:space="preserve"> </w:t>
            </w:r>
            <w:r>
              <w:t xml:space="preserve">C </w:t>
            </w:r>
          </w:p>
          <w:p w14:paraId="4C514905" w14:textId="745DE3A3" w:rsidR="0062666D" w:rsidRDefault="0062666D">
            <w:pPr>
              <w:tabs>
                <w:tab w:val="left" w:pos="1701"/>
                <w:tab w:val="left" w:pos="3600"/>
                <w:tab w:val="left" w:pos="5387"/>
              </w:tabs>
            </w:pPr>
            <w:r>
              <w:t>Antal projekt</w:t>
            </w:r>
          </w:p>
          <w:p w14:paraId="656B20AD" w14:textId="77777777" w:rsidR="0062666D" w:rsidRDefault="0062666D">
            <w:pPr>
              <w:tabs>
                <w:tab w:val="left" w:pos="1701"/>
                <w:tab w:val="left" w:pos="3600"/>
                <w:tab w:val="left" w:pos="5387"/>
              </w:tabs>
            </w:pPr>
            <w:r>
              <w:t xml:space="preserve"> </w:t>
            </w:r>
          </w:p>
        </w:tc>
        <w:tc>
          <w:tcPr>
            <w:tcW w:w="2365" w:type="dxa"/>
            <w:tcBorders>
              <w:top w:val="single" w:sz="4" w:space="0" w:color="auto"/>
              <w:left w:val="single" w:sz="4" w:space="0" w:color="auto"/>
              <w:bottom w:val="single" w:sz="4" w:space="0" w:color="auto"/>
              <w:right w:val="single" w:sz="4" w:space="0" w:color="auto"/>
            </w:tcBorders>
          </w:tcPr>
          <w:p w14:paraId="59D18136" w14:textId="77777777" w:rsidR="0062666D" w:rsidRDefault="0062666D" w:rsidP="00D61306">
            <w:pPr>
              <w:tabs>
                <w:tab w:val="left" w:pos="1701"/>
                <w:tab w:val="left" w:pos="3600"/>
                <w:tab w:val="left" w:pos="5387"/>
              </w:tabs>
              <w:jc w:val="center"/>
            </w:pPr>
            <w:r>
              <w:t>12</w:t>
            </w:r>
          </w:p>
          <w:p w14:paraId="5556D1D4" w14:textId="77777777" w:rsidR="0062666D" w:rsidRDefault="0062666D" w:rsidP="00D61306">
            <w:pPr>
              <w:tabs>
                <w:tab w:val="left" w:pos="1701"/>
                <w:tab w:val="left" w:pos="3600"/>
                <w:tab w:val="left" w:pos="5387"/>
              </w:tabs>
              <w:jc w:val="center"/>
            </w:pPr>
          </w:p>
        </w:tc>
        <w:tc>
          <w:tcPr>
            <w:tcW w:w="0" w:type="auto"/>
            <w:tcBorders>
              <w:top w:val="single" w:sz="4" w:space="0" w:color="auto"/>
              <w:left w:val="single" w:sz="4" w:space="0" w:color="auto"/>
              <w:bottom w:val="single" w:sz="4" w:space="0" w:color="auto"/>
              <w:right w:val="single" w:sz="4" w:space="0" w:color="auto"/>
            </w:tcBorders>
          </w:tcPr>
          <w:p w14:paraId="7EBC8A5A" w14:textId="02890EF1" w:rsidR="0062666D" w:rsidRDefault="0062666D" w:rsidP="00D61306">
            <w:pPr>
              <w:tabs>
                <w:tab w:val="left" w:pos="1701"/>
                <w:tab w:val="left" w:pos="3600"/>
                <w:tab w:val="left" w:pos="5387"/>
              </w:tabs>
              <w:jc w:val="center"/>
            </w:pPr>
            <w:r>
              <w:t>13</w:t>
            </w:r>
          </w:p>
          <w:p w14:paraId="2214A4D2" w14:textId="77777777" w:rsidR="0062666D" w:rsidRDefault="0062666D" w:rsidP="00D61306">
            <w:pPr>
              <w:tabs>
                <w:tab w:val="left" w:pos="1701"/>
                <w:tab w:val="left" w:pos="3600"/>
                <w:tab w:val="left" w:pos="5387"/>
              </w:tabs>
              <w:jc w:val="center"/>
            </w:pPr>
          </w:p>
        </w:tc>
        <w:tc>
          <w:tcPr>
            <w:tcW w:w="0" w:type="auto"/>
            <w:tcBorders>
              <w:top w:val="single" w:sz="4" w:space="0" w:color="auto"/>
              <w:left w:val="single" w:sz="4" w:space="0" w:color="auto"/>
              <w:bottom w:val="single" w:sz="4" w:space="0" w:color="auto"/>
              <w:right w:val="single" w:sz="4" w:space="0" w:color="auto"/>
            </w:tcBorders>
          </w:tcPr>
          <w:p w14:paraId="0D03C52A" w14:textId="073E8016" w:rsidR="0062666D" w:rsidRDefault="0062666D" w:rsidP="00D61306">
            <w:pPr>
              <w:tabs>
                <w:tab w:val="left" w:pos="1701"/>
                <w:tab w:val="left" w:pos="3600"/>
                <w:tab w:val="left" w:pos="5387"/>
              </w:tabs>
              <w:jc w:val="center"/>
            </w:pPr>
            <w:r>
              <w:t>+</w:t>
            </w:r>
            <w:r w:rsidR="009E0BF6">
              <w:t>1</w:t>
            </w:r>
          </w:p>
          <w:p w14:paraId="64AF8A90" w14:textId="77777777" w:rsidR="0062666D" w:rsidRDefault="0062666D" w:rsidP="00D61306">
            <w:pPr>
              <w:tabs>
                <w:tab w:val="left" w:pos="1701"/>
                <w:tab w:val="left" w:pos="3600"/>
                <w:tab w:val="left" w:pos="5387"/>
              </w:tabs>
              <w:jc w:val="center"/>
            </w:pPr>
          </w:p>
        </w:tc>
      </w:tr>
      <w:tr w:rsidR="0062666D" w14:paraId="08786023" w14:textId="77777777" w:rsidTr="004845F3">
        <w:tc>
          <w:tcPr>
            <w:tcW w:w="2122" w:type="dxa"/>
            <w:tcBorders>
              <w:top w:val="single" w:sz="4" w:space="0" w:color="auto"/>
              <w:left w:val="single" w:sz="4" w:space="0" w:color="auto"/>
              <w:bottom w:val="single" w:sz="4" w:space="0" w:color="auto"/>
              <w:right w:val="single" w:sz="4" w:space="0" w:color="auto"/>
            </w:tcBorders>
          </w:tcPr>
          <w:p w14:paraId="2E87E027" w14:textId="77777777" w:rsidR="00EC49A2" w:rsidRDefault="0062666D">
            <w:pPr>
              <w:tabs>
                <w:tab w:val="left" w:pos="1701"/>
                <w:tab w:val="left" w:pos="3600"/>
                <w:tab w:val="left" w:pos="5387"/>
              </w:tabs>
            </w:pPr>
            <w:r>
              <w:t>PO</w:t>
            </w:r>
            <w:r w:rsidR="00EC49A2">
              <w:t xml:space="preserve"> </w:t>
            </w:r>
            <w:r>
              <w:t xml:space="preserve">D </w:t>
            </w:r>
          </w:p>
          <w:p w14:paraId="3113A907" w14:textId="448146DA" w:rsidR="0062666D" w:rsidRDefault="0062666D">
            <w:pPr>
              <w:tabs>
                <w:tab w:val="left" w:pos="1701"/>
                <w:tab w:val="left" w:pos="3600"/>
                <w:tab w:val="left" w:pos="5387"/>
              </w:tabs>
            </w:pPr>
            <w:r>
              <w:t>Antal projekt</w:t>
            </w:r>
          </w:p>
          <w:p w14:paraId="5A484C48" w14:textId="77777777" w:rsidR="0062666D" w:rsidRDefault="0062666D">
            <w:pPr>
              <w:tabs>
                <w:tab w:val="left" w:pos="1701"/>
                <w:tab w:val="left" w:pos="3600"/>
                <w:tab w:val="left" w:pos="5387"/>
              </w:tabs>
            </w:pPr>
          </w:p>
        </w:tc>
        <w:tc>
          <w:tcPr>
            <w:tcW w:w="2365" w:type="dxa"/>
            <w:tcBorders>
              <w:top w:val="single" w:sz="4" w:space="0" w:color="auto"/>
              <w:left w:val="single" w:sz="4" w:space="0" w:color="auto"/>
              <w:bottom w:val="single" w:sz="4" w:space="0" w:color="auto"/>
              <w:right w:val="single" w:sz="4" w:space="0" w:color="auto"/>
            </w:tcBorders>
            <w:hideMark/>
          </w:tcPr>
          <w:p w14:paraId="22A33EB9" w14:textId="297B7EA8" w:rsidR="0062666D" w:rsidRDefault="00171470" w:rsidP="00D61306">
            <w:pPr>
              <w:tabs>
                <w:tab w:val="left" w:pos="1701"/>
                <w:tab w:val="left" w:pos="3600"/>
                <w:tab w:val="left" w:pos="5387"/>
              </w:tabs>
              <w:jc w:val="center"/>
            </w:pPr>
            <w:r>
              <w:t>50</w:t>
            </w:r>
          </w:p>
        </w:tc>
        <w:tc>
          <w:tcPr>
            <w:tcW w:w="0" w:type="auto"/>
            <w:tcBorders>
              <w:top w:val="single" w:sz="4" w:space="0" w:color="auto"/>
              <w:left w:val="single" w:sz="4" w:space="0" w:color="auto"/>
              <w:bottom w:val="single" w:sz="4" w:space="0" w:color="auto"/>
              <w:right w:val="single" w:sz="4" w:space="0" w:color="auto"/>
            </w:tcBorders>
            <w:hideMark/>
          </w:tcPr>
          <w:p w14:paraId="6BAA0D81" w14:textId="20B2397B" w:rsidR="0062666D" w:rsidRDefault="00171470" w:rsidP="00D61306">
            <w:pPr>
              <w:tabs>
                <w:tab w:val="left" w:pos="1701"/>
                <w:tab w:val="left" w:pos="3600"/>
                <w:tab w:val="left" w:pos="5387"/>
              </w:tabs>
              <w:jc w:val="center"/>
            </w:pPr>
            <w:r>
              <w:t>56</w:t>
            </w:r>
          </w:p>
        </w:tc>
        <w:tc>
          <w:tcPr>
            <w:tcW w:w="0" w:type="auto"/>
            <w:tcBorders>
              <w:top w:val="single" w:sz="4" w:space="0" w:color="auto"/>
              <w:left w:val="single" w:sz="4" w:space="0" w:color="auto"/>
              <w:bottom w:val="single" w:sz="4" w:space="0" w:color="auto"/>
              <w:right w:val="single" w:sz="4" w:space="0" w:color="auto"/>
            </w:tcBorders>
            <w:hideMark/>
          </w:tcPr>
          <w:p w14:paraId="75D506F2" w14:textId="656E13EE" w:rsidR="0062666D" w:rsidRDefault="0062666D" w:rsidP="00D61306">
            <w:pPr>
              <w:tabs>
                <w:tab w:val="left" w:pos="1701"/>
                <w:tab w:val="left" w:pos="3600"/>
                <w:tab w:val="left" w:pos="5387"/>
              </w:tabs>
              <w:jc w:val="center"/>
            </w:pPr>
            <w:r>
              <w:t>+</w:t>
            </w:r>
            <w:r w:rsidR="00171470">
              <w:t>6</w:t>
            </w:r>
          </w:p>
        </w:tc>
      </w:tr>
      <w:tr w:rsidR="00F07BCB" w14:paraId="375C6539" w14:textId="77777777" w:rsidTr="004845F3">
        <w:tc>
          <w:tcPr>
            <w:tcW w:w="2122" w:type="dxa"/>
            <w:tcBorders>
              <w:top w:val="single" w:sz="4" w:space="0" w:color="auto"/>
              <w:left w:val="single" w:sz="4" w:space="0" w:color="auto"/>
              <w:bottom w:val="single" w:sz="4" w:space="0" w:color="auto"/>
              <w:right w:val="single" w:sz="4" w:space="0" w:color="auto"/>
            </w:tcBorders>
          </w:tcPr>
          <w:p w14:paraId="05878A07" w14:textId="5A9C8900" w:rsidR="004F7654" w:rsidRDefault="00F07BCB">
            <w:pPr>
              <w:tabs>
                <w:tab w:val="left" w:pos="1701"/>
                <w:tab w:val="left" w:pos="3600"/>
                <w:tab w:val="left" w:pos="5387"/>
              </w:tabs>
            </w:pPr>
            <w:r>
              <w:t>PO</w:t>
            </w:r>
            <w:r w:rsidR="00327F24">
              <w:t xml:space="preserve"> </w:t>
            </w:r>
            <w:r>
              <w:t xml:space="preserve">E </w:t>
            </w:r>
          </w:p>
          <w:p w14:paraId="09134AA2" w14:textId="4C5298E3" w:rsidR="00F07BCB" w:rsidRDefault="00F07BCB" w:rsidP="004F7654">
            <w:pPr>
              <w:tabs>
                <w:tab w:val="left" w:pos="1701"/>
                <w:tab w:val="left" w:pos="3600"/>
                <w:tab w:val="left" w:pos="5387"/>
              </w:tabs>
            </w:pPr>
            <w:r>
              <w:t>Ant</w:t>
            </w:r>
            <w:r w:rsidR="00D244A4">
              <w:t>al projekt</w:t>
            </w:r>
          </w:p>
        </w:tc>
        <w:tc>
          <w:tcPr>
            <w:tcW w:w="2365" w:type="dxa"/>
            <w:tcBorders>
              <w:top w:val="single" w:sz="4" w:space="0" w:color="auto"/>
              <w:left w:val="single" w:sz="4" w:space="0" w:color="auto"/>
              <w:bottom w:val="single" w:sz="4" w:space="0" w:color="auto"/>
              <w:right w:val="single" w:sz="4" w:space="0" w:color="auto"/>
            </w:tcBorders>
          </w:tcPr>
          <w:p w14:paraId="4422E6AB" w14:textId="22D06EB1" w:rsidR="00F07BCB" w:rsidRDefault="00D244A4" w:rsidP="00D61306">
            <w:pPr>
              <w:tabs>
                <w:tab w:val="left" w:pos="1701"/>
                <w:tab w:val="left" w:pos="3600"/>
                <w:tab w:val="left" w:pos="5387"/>
              </w:tabs>
              <w:jc w:val="center"/>
            </w:pPr>
            <w:r>
              <w:t>48</w:t>
            </w:r>
          </w:p>
        </w:tc>
        <w:tc>
          <w:tcPr>
            <w:tcW w:w="0" w:type="auto"/>
            <w:tcBorders>
              <w:top w:val="single" w:sz="4" w:space="0" w:color="auto"/>
              <w:left w:val="single" w:sz="4" w:space="0" w:color="auto"/>
              <w:bottom w:val="single" w:sz="4" w:space="0" w:color="auto"/>
              <w:right w:val="single" w:sz="4" w:space="0" w:color="auto"/>
            </w:tcBorders>
          </w:tcPr>
          <w:p w14:paraId="09F80258" w14:textId="3C797C78" w:rsidR="00F07BCB" w:rsidRDefault="00D244A4" w:rsidP="00D61306">
            <w:pPr>
              <w:tabs>
                <w:tab w:val="left" w:pos="1701"/>
                <w:tab w:val="left" w:pos="3600"/>
                <w:tab w:val="left" w:pos="5387"/>
              </w:tabs>
              <w:jc w:val="center"/>
            </w:pPr>
            <w:r>
              <w:t>48</w:t>
            </w:r>
          </w:p>
        </w:tc>
        <w:tc>
          <w:tcPr>
            <w:tcW w:w="0" w:type="auto"/>
            <w:tcBorders>
              <w:top w:val="single" w:sz="4" w:space="0" w:color="auto"/>
              <w:left w:val="single" w:sz="4" w:space="0" w:color="auto"/>
              <w:bottom w:val="single" w:sz="4" w:space="0" w:color="auto"/>
              <w:right w:val="single" w:sz="4" w:space="0" w:color="auto"/>
            </w:tcBorders>
          </w:tcPr>
          <w:p w14:paraId="0A7EA3BE" w14:textId="5F0EE946" w:rsidR="00F07BCB" w:rsidRDefault="00D244A4" w:rsidP="00D61306">
            <w:pPr>
              <w:tabs>
                <w:tab w:val="left" w:pos="1701"/>
                <w:tab w:val="left" w:pos="3600"/>
                <w:tab w:val="left" w:pos="5387"/>
              </w:tabs>
              <w:jc w:val="center"/>
            </w:pPr>
            <w:r>
              <w:t>0</w:t>
            </w:r>
          </w:p>
        </w:tc>
      </w:tr>
    </w:tbl>
    <w:p w14:paraId="76BB9F57" w14:textId="77777777" w:rsidR="00895DE8" w:rsidRDefault="00895DE8" w:rsidP="004E1C36">
      <w:pPr>
        <w:pStyle w:val="Brdtext"/>
        <w:sectPr w:rsidR="00895DE8" w:rsidSect="00D13E30">
          <w:headerReference w:type="default" r:id="rId15"/>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pPr>
    </w:p>
    <w:p w14:paraId="723AC34C" w14:textId="322FE8B1" w:rsidR="00B24AA5" w:rsidRPr="00CA1851" w:rsidRDefault="00A40BF7" w:rsidP="00AD06E3">
      <w:pPr>
        <w:pStyle w:val="Brdtext"/>
      </w:pPr>
      <w:bookmarkStart w:id="12" w:name="_Hlk185410491"/>
      <w:bookmarkEnd w:id="11"/>
      <w:r w:rsidRPr="00A40BF7">
        <w:rPr>
          <w:rFonts w:ascii="Times New Roman" w:eastAsia="Times New Roman" w:hAnsi="Times New Roman" w:cs="Times New Roman"/>
          <w:noProof/>
          <w:sz w:val="24"/>
          <w:szCs w:val="24"/>
          <w:lang w:eastAsia="sv-SE"/>
        </w:rPr>
        <w:lastRenderedPageBreak/>
        <w:drawing>
          <wp:anchor distT="0" distB="0" distL="114300" distR="114300" simplePos="0" relativeHeight="251658240" behindDoc="0" locked="0" layoutInCell="1" allowOverlap="1" wp14:anchorId="72FE9FBF" wp14:editId="5924F4D4">
            <wp:simplePos x="0" y="0"/>
            <wp:positionH relativeFrom="page">
              <wp:align>center</wp:align>
            </wp:positionH>
            <wp:positionV relativeFrom="paragraph">
              <wp:posOffset>294005</wp:posOffset>
            </wp:positionV>
            <wp:extent cx="10134600" cy="5429250"/>
            <wp:effectExtent l="0" t="0" r="0" b="0"/>
            <wp:wrapThrough wrapText="bothSides">
              <wp:wrapPolygon edited="0">
                <wp:start x="0" y="0"/>
                <wp:lineTo x="0" y="21524"/>
                <wp:lineTo x="21559" y="21524"/>
                <wp:lineTo x="21559"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rotWithShape="1">
                    <a:blip r:embed="rId19">
                      <a:extLst>
                        <a:ext uri="{28A0092B-C50C-407E-A947-70E740481C1C}">
                          <a14:useLocalDpi xmlns:a14="http://schemas.microsoft.com/office/drawing/2010/main" val="0"/>
                        </a:ext>
                      </a:extLst>
                    </a:blip>
                    <a:srcRect t="1166" r="592" b="689"/>
                    <a:stretch/>
                  </pic:blipFill>
                  <pic:spPr bwMode="auto">
                    <a:xfrm>
                      <a:off x="0" y="0"/>
                      <a:ext cx="10134600" cy="5429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2"/>
    </w:p>
    <w:sectPr w:rsidR="00B24AA5" w:rsidRPr="00CA1851" w:rsidSect="00547A41">
      <w:headerReference w:type="default" r:id="rId20"/>
      <w:pgSz w:w="16838" w:h="11906" w:orient="landscape" w:code="9"/>
      <w:pgMar w:top="567" w:right="2041" w:bottom="1985" w:left="2098"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B3C2" w14:textId="77777777" w:rsidR="00FA78B7" w:rsidRDefault="00FA78B7" w:rsidP="00A87A54">
      <w:pPr>
        <w:spacing w:after="0" w:line="240" w:lineRule="auto"/>
      </w:pPr>
      <w:r>
        <w:separator/>
      </w:r>
    </w:p>
  </w:endnote>
  <w:endnote w:type="continuationSeparator" w:id="0">
    <w:p w14:paraId="1E32CE65" w14:textId="77777777" w:rsidR="00FA78B7" w:rsidRDefault="00FA78B7" w:rsidP="00A87A54">
      <w:pPr>
        <w:spacing w:after="0" w:line="240" w:lineRule="auto"/>
      </w:pPr>
      <w:r>
        <w:continuationSeparator/>
      </w:r>
    </w:p>
  </w:endnote>
  <w:endnote w:type="continuationNotice" w:id="1">
    <w:p w14:paraId="00C275BA" w14:textId="77777777" w:rsidR="00FA78B7" w:rsidRDefault="00FA7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0886"/>
      <w:docPartObj>
        <w:docPartGallery w:val="Page Numbers (Bottom of Page)"/>
        <w:docPartUnique/>
      </w:docPartObj>
    </w:sdtPr>
    <w:sdtContent>
      <w:p w14:paraId="7C37EDE1" w14:textId="06336A75" w:rsidR="007C64C5" w:rsidRDefault="007C64C5">
        <w:pPr>
          <w:pStyle w:val="Sidfot"/>
        </w:pPr>
        <w:r>
          <w:fldChar w:fldCharType="begin"/>
        </w:r>
        <w:r>
          <w:instrText>PAGE   \* MERGEFORMAT</w:instrText>
        </w:r>
        <w:r>
          <w:fldChar w:fldCharType="separate"/>
        </w:r>
        <w:r>
          <w:t>2</w:t>
        </w:r>
        <w:r>
          <w:fldChar w:fldCharType="end"/>
        </w:r>
      </w:p>
    </w:sdtContent>
  </w:sdt>
  <w:p w14:paraId="0AA7A3B4" w14:textId="77777777" w:rsidR="00A40BF7" w:rsidRDefault="00A40BF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FAEB2D0" w14:textId="77777777" w:rsidTr="001F4302">
      <w:trPr>
        <w:trHeight w:val="510"/>
      </w:trPr>
      <w:tc>
        <w:tcPr>
          <w:tcW w:w="8525" w:type="dxa"/>
          <w:gridSpan w:val="2"/>
          <w:vAlign w:val="bottom"/>
        </w:tcPr>
        <w:p w14:paraId="7962D5BD" w14:textId="77777777" w:rsidR="00347E11" w:rsidRPr="00347E11" w:rsidRDefault="00347E11" w:rsidP="00347E11">
          <w:pPr>
            <w:pStyle w:val="Sidfot"/>
            <w:rPr>
              <w:sz w:val="8"/>
            </w:rPr>
          </w:pPr>
        </w:p>
      </w:tc>
    </w:tr>
    <w:tr w:rsidR="00093408" w:rsidRPr="00EE3C0F" w14:paraId="0C5C6DF9" w14:textId="77777777" w:rsidTr="00C26068">
      <w:trPr>
        <w:trHeight w:val="227"/>
      </w:trPr>
      <w:tc>
        <w:tcPr>
          <w:tcW w:w="4074" w:type="dxa"/>
        </w:tcPr>
        <w:p w14:paraId="4C0EB8D8" w14:textId="77777777" w:rsidR="00347E11" w:rsidRPr="00F53AEA" w:rsidRDefault="00347E11" w:rsidP="00C26068">
          <w:pPr>
            <w:pStyle w:val="Sidfot"/>
            <w:spacing w:line="276" w:lineRule="auto"/>
          </w:pPr>
        </w:p>
      </w:tc>
      <w:tc>
        <w:tcPr>
          <w:tcW w:w="4451" w:type="dxa"/>
        </w:tcPr>
        <w:p w14:paraId="6BD603CB" w14:textId="77777777" w:rsidR="00093408" w:rsidRPr="00F53AEA" w:rsidRDefault="00093408" w:rsidP="00F53AEA">
          <w:pPr>
            <w:pStyle w:val="Sidfot"/>
            <w:spacing w:line="276" w:lineRule="auto"/>
          </w:pPr>
        </w:p>
      </w:tc>
    </w:tr>
  </w:tbl>
  <w:p w14:paraId="50F39A3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1253" w14:textId="77777777" w:rsidR="00FA78B7" w:rsidRDefault="00FA78B7" w:rsidP="00A87A54">
      <w:pPr>
        <w:spacing w:after="0" w:line="240" w:lineRule="auto"/>
      </w:pPr>
      <w:r>
        <w:separator/>
      </w:r>
    </w:p>
  </w:footnote>
  <w:footnote w:type="continuationSeparator" w:id="0">
    <w:p w14:paraId="517114D8" w14:textId="77777777" w:rsidR="00FA78B7" w:rsidRDefault="00FA78B7" w:rsidP="00A87A54">
      <w:pPr>
        <w:spacing w:after="0" w:line="240" w:lineRule="auto"/>
      </w:pPr>
      <w:r>
        <w:continuationSeparator/>
      </w:r>
    </w:p>
  </w:footnote>
  <w:footnote w:type="continuationNotice" w:id="1">
    <w:p w14:paraId="09A4FCE9" w14:textId="77777777" w:rsidR="00FA78B7" w:rsidRDefault="00FA78B7">
      <w:pPr>
        <w:spacing w:after="0" w:line="240" w:lineRule="auto"/>
      </w:pPr>
    </w:p>
  </w:footnote>
  <w:footnote w:id="2">
    <w:p w14:paraId="4BD4BFBC" w14:textId="2AB1BC80" w:rsidR="0020345D" w:rsidRDefault="0020345D" w:rsidP="0020345D">
      <w:pPr>
        <w:pStyle w:val="Fotnotstext"/>
      </w:pPr>
      <w:r w:rsidRPr="008752CA">
        <w:rPr>
          <w:rStyle w:val="Fotnotsreferens"/>
        </w:rPr>
        <w:footnoteRef/>
      </w:r>
      <w:r w:rsidRPr="008752CA">
        <w:t xml:space="preserve"> </w:t>
      </w:r>
      <w:r w:rsidRPr="004A2EE9">
        <w:t xml:space="preserve">Europaparlamentets och rådets förordning (EU) 2021/1060 av den 24 juni 2021 om fastställande av gemensamma bestämmelser för </w:t>
      </w:r>
      <w:proofErr w:type="gramStart"/>
      <w:r w:rsidRPr="004A2EE9">
        <w:t>Europeiska</w:t>
      </w:r>
      <w:proofErr w:type="gramEnd"/>
      <w:r w:rsidRPr="004A2EE9">
        <w:t xml:space="preserve"> regionala utvecklingsfonden, Europeiska socialfonden+, Sammanhållningsfonden</w:t>
      </w:r>
      <w:r w:rsidR="00E14F33">
        <w:t>,</w:t>
      </w:r>
      <w:r w:rsidRPr="004A2EE9">
        <w:t xml:space="preserve"> Fonden för en rättvis omställning och Europeiska havs-, fiskeri- och vattenbruksfonden samt finansiella regler för dessa och för Asyl-, migrations- och integrationsfonden, Fonden för inre säkerhet samt instrumentet för ekonomiskt stöd för gränsförvaltning och viseringspolitik</w:t>
      </w:r>
      <w:r w:rsidRPr="00E14F33">
        <w:t xml:space="preserve">  </w:t>
      </w:r>
    </w:p>
  </w:footnote>
  <w:footnote w:id="3">
    <w:p w14:paraId="55992CB9" w14:textId="0DF4E215" w:rsidR="007F0F52" w:rsidRDefault="007F0F52" w:rsidP="007F0F52">
      <w:pPr>
        <w:pStyle w:val="Fotnotstext"/>
      </w:pPr>
      <w:r>
        <w:rPr>
          <w:rStyle w:val="Fotnotsreferens"/>
        </w:rPr>
        <w:footnoteRef/>
      </w:r>
      <w:r>
        <w:t xml:space="preserve"> Europaparlamentets och rådets förordning (EU) 2021/1057 av den 24 juni 2021 om inrättande av Europeiska socialfonden (ESF+) och om upphävande av förordning (EU) nr 1296/2013</w:t>
      </w:r>
      <w:r w:rsidR="00564B97">
        <w:t>, artikel 4</w:t>
      </w:r>
      <w:r w:rsidR="00290AF8">
        <w:t>.</w:t>
      </w:r>
    </w:p>
  </w:footnote>
  <w:footnote w:id="4">
    <w:p w14:paraId="0106A5D3" w14:textId="27CAFC5F" w:rsidR="009F1A5B" w:rsidRPr="00FC1B97" w:rsidRDefault="009F1A5B">
      <w:pPr>
        <w:pStyle w:val="Fotnotstext"/>
      </w:pPr>
      <w:r>
        <w:rPr>
          <w:rStyle w:val="Fotnotsreferens"/>
        </w:rPr>
        <w:footnoteRef/>
      </w:r>
      <w:r w:rsidRPr="00FC1B97">
        <w:t xml:space="preserve"> SFS 2024:1334</w:t>
      </w:r>
      <w:r w:rsidR="00CB599D">
        <w:t xml:space="preserve">. </w:t>
      </w:r>
    </w:p>
  </w:footnote>
  <w:footnote w:id="5">
    <w:p w14:paraId="4D622F5E" w14:textId="201294E9" w:rsidR="000A553E" w:rsidRDefault="000A553E">
      <w:pPr>
        <w:pStyle w:val="Fotnotstext"/>
      </w:pPr>
      <w:r>
        <w:rPr>
          <w:rStyle w:val="Fotnotsreferens"/>
        </w:rPr>
        <w:footnoteRef/>
      </w:r>
      <w:r>
        <w:t xml:space="preserve"> Beloppet inkluderar även medel för programområde F Fast Care som inte berörs av halvtidsöversynen.</w:t>
      </w:r>
    </w:p>
  </w:footnote>
  <w:footnote w:id="6">
    <w:p w14:paraId="1ED813AE" w14:textId="4BA97A49" w:rsidR="00C458A3" w:rsidRDefault="00C458A3">
      <w:pPr>
        <w:pStyle w:val="Fotnotstext"/>
      </w:pPr>
      <w:r>
        <w:rPr>
          <w:rStyle w:val="Fotnotsreferens"/>
        </w:rPr>
        <w:footnoteRef/>
      </w:r>
      <w:r>
        <w:t xml:space="preserve"> Europeiska</w:t>
      </w:r>
      <w:r w:rsidRPr="00C458A3">
        <w:t xml:space="preserve"> unionens råd </w:t>
      </w:r>
      <w:proofErr w:type="gramStart"/>
      <w:r w:rsidRPr="00C458A3">
        <w:t>11719</w:t>
      </w:r>
      <w:proofErr w:type="gramEnd"/>
      <w:r w:rsidRPr="00C458A3">
        <w:t>/24</w:t>
      </w:r>
      <w:r>
        <w:t>. Slu</w:t>
      </w:r>
      <w:r w:rsidR="009C3FE7">
        <w:t>tl</w:t>
      </w:r>
      <w:r>
        <w:t xml:space="preserve">igen antagna </w:t>
      </w:r>
      <w:r w:rsidR="00834E87">
        <w:t xml:space="preserve">av rådet </w:t>
      </w:r>
      <w:r w:rsidR="00141C47">
        <w:t xml:space="preserve">den </w:t>
      </w:r>
      <w:r>
        <w:t>21-22 oktober 2024.</w:t>
      </w:r>
    </w:p>
  </w:footnote>
  <w:footnote w:id="7">
    <w:p w14:paraId="511AC385" w14:textId="43777321" w:rsidR="001070ED" w:rsidRPr="00C366AD" w:rsidRDefault="001070ED">
      <w:pPr>
        <w:pStyle w:val="Fotnotstext"/>
        <w:rPr>
          <w:lang w:val="en-GB"/>
        </w:rPr>
      </w:pPr>
      <w:r>
        <w:rPr>
          <w:rStyle w:val="Fotnotsreferens"/>
        </w:rPr>
        <w:footnoteRef/>
      </w:r>
      <w:r w:rsidRPr="00C366AD">
        <w:rPr>
          <w:lang w:val="en-GB"/>
        </w:rPr>
        <w:t>2021SE05SFPR001, version 3.0</w:t>
      </w:r>
      <w:r w:rsidR="00CB599D">
        <w:rPr>
          <w:lang w:val="en-GB"/>
        </w:rPr>
        <w:t>.</w:t>
      </w:r>
    </w:p>
  </w:footnote>
  <w:footnote w:id="8">
    <w:p w14:paraId="0CD4A6B0" w14:textId="31408953" w:rsidR="00D27B70" w:rsidRPr="00D33705" w:rsidRDefault="00D27B70">
      <w:pPr>
        <w:pStyle w:val="Fotnotstext"/>
        <w:rPr>
          <w:lang w:val="en-GB"/>
        </w:rPr>
      </w:pPr>
      <w:r>
        <w:rPr>
          <w:rStyle w:val="Fotnotsreferens"/>
        </w:rPr>
        <w:footnoteRef/>
      </w:r>
      <w:r w:rsidRPr="00D33705">
        <w:rPr>
          <w:lang w:val="en-GB"/>
        </w:rPr>
        <w:t xml:space="preserve"> </w:t>
      </w:r>
      <w:r w:rsidR="00694A1E">
        <w:rPr>
          <w:lang w:val="en-GB"/>
        </w:rPr>
        <w:t xml:space="preserve">COMMISSION STAFF WORKING DOCUMENT </w:t>
      </w:r>
      <w:r w:rsidR="00912DB0">
        <w:rPr>
          <w:lang w:val="en-GB"/>
        </w:rPr>
        <w:t>2024 Country Report Sweden</w:t>
      </w:r>
      <w:r w:rsidR="00694A1E">
        <w:rPr>
          <w:lang w:val="en-GB"/>
        </w:rPr>
        <w:t>,</w:t>
      </w:r>
      <w:r w:rsidR="00912DB0">
        <w:rPr>
          <w:lang w:val="en-GB"/>
        </w:rPr>
        <w:t xml:space="preserve"> SWD (2024) 627 final</w:t>
      </w:r>
      <w:r w:rsidR="00CB599D">
        <w:rPr>
          <w:lang w:val="en-GB"/>
        </w:rPr>
        <w:t>.</w:t>
      </w:r>
    </w:p>
  </w:footnote>
  <w:footnote w:id="9">
    <w:p w14:paraId="36635666" w14:textId="15AA1366" w:rsidR="00104CFE" w:rsidRPr="00104CFE" w:rsidRDefault="00104CFE">
      <w:pPr>
        <w:pStyle w:val="Fotnotstext"/>
        <w:rPr>
          <w:lang w:val="en-GB"/>
        </w:rPr>
      </w:pPr>
      <w:r>
        <w:rPr>
          <w:rStyle w:val="Fotnotsreferens"/>
        </w:rPr>
        <w:footnoteRef/>
      </w:r>
      <w:r w:rsidRPr="00104CFE">
        <w:rPr>
          <w:lang w:val="en-GB"/>
        </w:rPr>
        <w:t xml:space="preserve"> </w:t>
      </w:r>
      <w:r w:rsidRPr="007A6BA6">
        <w:rPr>
          <w:lang w:val="en-GB"/>
        </w:rPr>
        <w:t>Box 4</w:t>
      </w:r>
      <w:r>
        <w:rPr>
          <w:lang w:val="en-GB"/>
        </w:rPr>
        <w:t xml:space="preserve">: The </w:t>
      </w:r>
      <w:r w:rsidRPr="007A6BA6">
        <w:rPr>
          <w:lang w:val="en-GB"/>
        </w:rPr>
        <w:t>mid-term review of cohesion policy funding for Sweden, s.</w:t>
      </w:r>
      <w:r>
        <w:rPr>
          <w:lang w:val="en-GB"/>
        </w:rPr>
        <w:t xml:space="preserve"> 1</w:t>
      </w:r>
      <w:r w:rsidRPr="007A6BA6">
        <w:rPr>
          <w:lang w:val="en-GB"/>
        </w:rPr>
        <w:t>4</w:t>
      </w:r>
      <w:r>
        <w:rPr>
          <w:lang w:val="en-GB"/>
        </w:rPr>
        <w:t>.</w:t>
      </w:r>
    </w:p>
  </w:footnote>
  <w:footnote w:id="10">
    <w:p w14:paraId="3A11CA60" w14:textId="4BC4F167" w:rsidR="005A7945" w:rsidRPr="005A7945" w:rsidRDefault="005A7945">
      <w:pPr>
        <w:pStyle w:val="Fotnotstext"/>
        <w:rPr>
          <w:lang w:val="en-GB"/>
        </w:rPr>
      </w:pPr>
      <w:r>
        <w:rPr>
          <w:rStyle w:val="Fotnotsreferens"/>
        </w:rPr>
        <w:footnoteRef/>
      </w:r>
      <w:r w:rsidRPr="005A7945">
        <w:rPr>
          <w:lang w:val="en-GB"/>
        </w:rPr>
        <w:t xml:space="preserve"> </w:t>
      </w:r>
      <w:r w:rsidRPr="00C4292A">
        <w:rPr>
          <w:lang w:val="en-GB"/>
        </w:rPr>
        <w:t xml:space="preserve">Employment, Skills and Social Policy Challenges </w:t>
      </w:r>
      <w:proofErr w:type="gramStart"/>
      <w:r w:rsidRPr="00C4292A">
        <w:rPr>
          <w:lang w:val="en-GB"/>
        </w:rPr>
        <w:t>in light of</w:t>
      </w:r>
      <w:proofErr w:type="gramEnd"/>
      <w:r w:rsidRPr="00C4292A">
        <w:rPr>
          <w:lang w:val="en-GB"/>
        </w:rPr>
        <w:t xml:space="preserve"> the European Pillar of Social Rights, s. 62–63.</w:t>
      </w:r>
    </w:p>
  </w:footnote>
  <w:footnote w:id="11">
    <w:p w14:paraId="0376C233" w14:textId="1A9ADC48" w:rsidR="00F61FC4" w:rsidRPr="00F2541A" w:rsidRDefault="00F61FC4">
      <w:pPr>
        <w:pStyle w:val="Fotnotstext"/>
      </w:pPr>
      <w:r>
        <w:rPr>
          <w:rStyle w:val="Fotnotsreferens"/>
        </w:rPr>
        <w:footnoteRef/>
      </w:r>
      <w:r w:rsidRPr="00F2541A">
        <w:t xml:space="preserve"> </w:t>
      </w:r>
      <w:r w:rsidR="00F2541A" w:rsidRPr="00147A83">
        <w:t>Till den valutakurs som t</w:t>
      </w:r>
      <w:r w:rsidR="00F2541A">
        <w:t xml:space="preserve">illämpas vid </w:t>
      </w:r>
      <w:r w:rsidR="00957AB7">
        <w:t xml:space="preserve">den förvaltande myndighetens </w:t>
      </w:r>
      <w:r w:rsidR="00F2541A">
        <w:t>inrapportering av finansiella data till kommissionen i enlighet med (EU) 2021/1060, artikel 42</w:t>
      </w:r>
      <w:r w:rsidR="00A47EE9">
        <w:t>.</w:t>
      </w:r>
      <w:r w:rsidR="00F2541A">
        <w:t xml:space="preserve"> </w:t>
      </w:r>
    </w:p>
  </w:footnote>
  <w:footnote w:id="12">
    <w:p w14:paraId="5DD46EA5" w14:textId="19D212EF" w:rsidR="00D54AAB" w:rsidRPr="002261C1" w:rsidRDefault="00D54AAB" w:rsidP="00D54AAB">
      <w:pPr>
        <w:autoSpaceDE w:val="0"/>
        <w:autoSpaceDN w:val="0"/>
        <w:adjustRightInd w:val="0"/>
        <w:spacing w:after="0" w:line="240" w:lineRule="auto"/>
        <w:rPr>
          <w:rFonts w:asciiTheme="majorHAnsi" w:hAnsiTheme="majorHAnsi" w:cstheme="majorHAnsi"/>
          <w:spacing w:val="6"/>
          <w:sz w:val="14"/>
          <w:szCs w:val="20"/>
        </w:rPr>
      </w:pPr>
      <w:r w:rsidRPr="00F979E6">
        <w:rPr>
          <w:rStyle w:val="Fotnotsreferens"/>
          <w:rFonts w:asciiTheme="majorHAnsi" w:hAnsiTheme="majorHAnsi" w:cstheme="majorHAnsi"/>
          <w:spacing w:val="6"/>
          <w:sz w:val="14"/>
          <w:szCs w:val="20"/>
        </w:rPr>
        <w:footnoteRef/>
      </w:r>
      <w:r>
        <w:t xml:space="preserve"> </w:t>
      </w:r>
      <w:r w:rsidRPr="004F1AC1">
        <w:rPr>
          <w:rFonts w:asciiTheme="majorHAnsi" w:hAnsiTheme="majorHAnsi" w:cstheme="majorHAnsi"/>
          <w:spacing w:val="6"/>
          <w:sz w:val="14"/>
          <w:szCs w:val="20"/>
        </w:rPr>
        <w:t>E</w:t>
      </w:r>
      <w:r>
        <w:rPr>
          <w:rFonts w:asciiTheme="majorHAnsi" w:hAnsiTheme="majorHAnsi" w:cstheme="majorHAnsi"/>
          <w:spacing w:val="6"/>
          <w:sz w:val="14"/>
          <w:szCs w:val="20"/>
        </w:rPr>
        <w:t xml:space="preserve">uropaparlamentets och rådets förordning </w:t>
      </w:r>
      <w:r w:rsidRPr="004F1AC1">
        <w:rPr>
          <w:rFonts w:asciiTheme="majorHAnsi" w:hAnsiTheme="majorHAnsi" w:cstheme="majorHAnsi"/>
          <w:spacing w:val="6"/>
          <w:sz w:val="14"/>
          <w:szCs w:val="20"/>
        </w:rPr>
        <w:t>(EU) 2024/795</w:t>
      </w:r>
      <w:r>
        <w:rPr>
          <w:rFonts w:asciiTheme="majorHAnsi" w:hAnsiTheme="majorHAnsi" w:cstheme="majorHAnsi"/>
          <w:spacing w:val="6"/>
          <w:sz w:val="14"/>
          <w:szCs w:val="20"/>
        </w:rPr>
        <w:t xml:space="preserve"> </w:t>
      </w:r>
      <w:r w:rsidRPr="004F1AC1">
        <w:rPr>
          <w:rFonts w:asciiTheme="majorHAnsi" w:hAnsiTheme="majorHAnsi" w:cstheme="majorHAnsi"/>
          <w:spacing w:val="6"/>
          <w:sz w:val="14"/>
          <w:szCs w:val="20"/>
        </w:rPr>
        <w:t>av den 29 februari 2024 om inrättande av den europeiska plattformen för strategisk teknik (STEP), och om ändring av direktiv 2003/87/EG och förordningarna (EU) 2021/1058, (EU) 2021/1056, (EU) 2021/1057, (EU) nr 1303/2013, (EU) nr 223/2014, (EU) 2021/1060, (EU) 2021/523, (EU) 2021/695, (EU) 2021/697 och (EU)</w:t>
      </w:r>
      <w:r w:rsidRPr="002261C1">
        <w:rPr>
          <w:rFonts w:asciiTheme="majorHAnsi" w:hAnsiTheme="majorHAnsi" w:cstheme="majorHAnsi"/>
          <w:spacing w:val="6"/>
          <w:sz w:val="14"/>
          <w:szCs w:val="20"/>
        </w:rPr>
        <w:t xml:space="preserve"> 2021/241</w:t>
      </w:r>
      <w:r w:rsidR="00CB599D">
        <w:rPr>
          <w:rFonts w:asciiTheme="majorHAnsi" w:hAnsiTheme="majorHAnsi" w:cstheme="majorHAnsi"/>
          <w:spacing w:val="6"/>
          <w:sz w:val="14"/>
          <w:szCs w:val="20"/>
        </w:rPr>
        <w:t>.</w:t>
      </w:r>
    </w:p>
  </w:footnote>
  <w:footnote w:id="13">
    <w:p w14:paraId="3B53EF51" w14:textId="050A4DFD" w:rsidR="00207859" w:rsidRPr="0020130E" w:rsidRDefault="00207859" w:rsidP="00207859">
      <w:pPr>
        <w:pStyle w:val="Fotnotstext"/>
        <w:rPr>
          <w:szCs w:val="14"/>
        </w:rPr>
      </w:pPr>
      <w:r w:rsidRPr="00372F28">
        <w:rPr>
          <w:rStyle w:val="Fotnotsreferens"/>
          <w:rFonts w:asciiTheme="minorHAnsi" w:hAnsiTheme="minorHAnsi"/>
          <w:sz w:val="20"/>
        </w:rPr>
        <w:footnoteRef/>
      </w:r>
      <w:r w:rsidRPr="00372F28">
        <w:rPr>
          <w:rFonts w:asciiTheme="minorHAnsi" w:hAnsiTheme="minorHAnsi"/>
          <w:sz w:val="20"/>
        </w:rPr>
        <w:t xml:space="preserve"> </w:t>
      </w:r>
      <w:r w:rsidR="00713E9E">
        <w:rPr>
          <w:rFonts w:asciiTheme="minorHAnsi" w:hAnsiTheme="minorHAnsi"/>
          <w:sz w:val="20"/>
        </w:rPr>
        <w:t xml:space="preserve">Tabell </w:t>
      </w:r>
      <w:r w:rsidRPr="00BD04BD">
        <w:t>lA14.1:</w:t>
      </w:r>
      <w:r w:rsidR="00156171">
        <w:t xml:space="preserve"> </w:t>
      </w:r>
      <w:r w:rsidRPr="00BD04BD">
        <w:t xml:space="preserve">Social Scoreboard for Sweden i landrapporten, s. </w:t>
      </w:r>
      <w:r w:rsidRPr="00BD04BD">
        <w:rPr>
          <w:szCs w:val="14"/>
        </w:rPr>
        <w:t xml:space="preserve">62. För EU, se </w:t>
      </w:r>
      <w:hyperlink r:id="rId1" w:history="1">
        <w:r w:rsidRPr="002261C1">
          <w:rPr>
            <w:rStyle w:val="Hyperlnk"/>
            <w:color w:val="auto"/>
            <w:szCs w:val="14"/>
          </w:rPr>
          <w:t>Scoreboard - Eurostat (europa.eu)</w:t>
        </w:r>
      </w:hyperlink>
      <w:r w:rsidR="00713E9E" w:rsidRPr="002261C1">
        <w:rPr>
          <w:rStyle w:val="Hyperlnk"/>
          <w:color w:val="auto"/>
          <w:szCs w:val="14"/>
        </w:rPr>
        <w:t xml:space="preserve">. </w:t>
      </w:r>
    </w:p>
  </w:footnote>
  <w:footnote w:id="14">
    <w:p w14:paraId="034C64E4" w14:textId="77777777" w:rsidR="006D729C" w:rsidRPr="00EE2642" w:rsidRDefault="006D729C" w:rsidP="006D729C">
      <w:pPr>
        <w:pStyle w:val="Fotnotstext"/>
        <w:rPr>
          <w:lang w:val="en-GB"/>
        </w:rPr>
      </w:pPr>
      <w:r>
        <w:rPr>
          <w:rStyle w:val="Fotnotsreferens"/>
        </w:rPr>
        <w:footnoteRef/>
      </w:r>
      <w:r w:rsidRPr="00EE2642">
        <w:rPr>
          <w:lang w:val="en-GB"/>
        </w:rPr>
        <w:t xml:space="preserve"> Measuring disability employment gaps, OECD 2024.</w:t>
      </w:r>
    </w:p>
  </w:footnote>
  <w:footnote w:id="15">
    <w:p w14:paraId="31C2D6E8" w14:textId="7EE3A878" w:rsidR="00696EA8" w:rsidRDefault="00696EA8">
      <w:pPr>
        <w:pStyle w:val="Fotnotstext"/>
      </w:pPr>
      <w:r>
        <w:rPr>
          <w:rStyle w:val="Fotnotsreferens"/>
        </w:rPr>
        <w:footnoteRef/>
      </w:r>
      <w:r>
        <w:t xml:space="preserve"> Reg</w:t>
      </w:r>
      <w:r w:rsidR="002705EA">
        <w:t>erings</w:t>
      </w:r>
      <w:r>
        <w:t xml:space="preserve">beslut </w:t>
      </w:r>
      <w:r w:rsidR="006E4FD1">
        <w:t>den 19 december 2024, A2024/01457</w:t>
      </w:r>
      <w:r w:rsidR="00CB599D">
        <w:t>.</w:t>
      </w:r>
    </w:p>
  </w:footnote>
  <w:footnote w:id="16">
    <w:p w14:paraId="33A14D37" w14:textId="5770AFB7" w:rsidR="00271B6D" w:rsidRDefault="00271B6D">
      <w:pPr>
        <w:pStyle w:val="Fotnotstext"/>
      </w:pPr>
      <w:r>
        <w:rPr>
          <w:rStyle w:val="Fotnotsreferens"/>
        </w:rPr>
        <w:footnoteRef/>
      </w:r>
      <w:r>
        <w:t xml:space="preserve"> Programområdet avsåg insatser för personer som omfattades av EU:s massflyktsdirektiv till följd av Rysslands aggression mot Ukraina. Insatser syftade till att deltagarna skulle komma i arbete och bli socialt delaktiga.  </w:t>
      </w:r>
    </w:p>
  </w:footnote>
  <w:footnote w:id="17">
    <w:p w14:paraId="5D15E4FE" w14:textId="6F7EFE1C" w:rsidR="00E33985" w:rsidRDefault="00E33985">
      <w:pPr>
        <w:pStyle w:val="Fotnotstext"/>
      </w:pPr>
      <w:r>
        <w:rPr>
          <w:rStyle w:val="Fotnotsreferens"/>
        </w:rPr>
        <w:footnoteRef/>
      </w:r>
      <w:r>
        <w:t xml:space="preserve"> Förordning (1999:710) om valutakurs vid stöd från EU-budgeten</w:t>
      </w:r>
      <w:r w:rsidR="00C20779">
        <w:t>.</w:t>
      </w:r>
    </w:p>
  </w:footnote>
  <w:footnote w:id="18">
    <w:p w14:paraId="3323BAF2" w14:textId="47446530" w:rsidR="001257F6" w:rsidRPr="00950E14" w:rsidRDefault="001257F6" w:rsidP="001257F6">
      <w:pPr>
        <w:pStyle w:val="Brdtext"/>
      </w:pPr>
      <w:r>
        <w:rPr>
          <w:rStyle w:val="Fotnotsreferens"/>
        </w:rPr>
        <w:footnoteRef/>
      </w:r>
      <w:r>
        <w:t xml:space="preserve"> </w:t>
      </w:r>
      <w:r w:rsidRPr="00950E14">
        <w:rPr>
          <w:rFonts w:asciiTheme="majorHAnsi" w:hAnsiTheme="majorHAnsi" w:cstheme="majorHAnsi"/>
          <w:spacing w:val="6"/>
          <w:sz w:val="14"/>
          <w:szCs w:val="20"/>
        </w:rPr>
        <w:t>Rätt stöd i rätt tid, en studie av studieavbrottsförebyggande insatser inom Socialfonden 2014</w:t>
      </w:r>
      <w:r w:rsidR="004E7F82" w:rsidRPr="00950E14">
        <w:rPr>
          <w:rFonts w:asciiTheme="majorHAnsi" w:hAnsiTheme="majorHAnsi" w:cstheme="majorHAnsi"/>
          <w:spacing w:val="6"/>
          <w:sz w:val="14"/>
          <w:szCs w:val="20"/>
        </w:rPr>
        <w:t>–</w:t>
      </w:r>
      <w:r w:rsidRPr="00950E14">
        <w:rPr>
          <w:rFonts w:asciiTheme="majorHAnsi" w:hAnsiTheme="majorHAnsi" w:cstheme="majorHAnsi"/>
          <w:spacing w:val="6"/>
          <w:sz w:val="14"/>
          <w:szCs w:val="20"/>
        </w:rPr>
        <w:t>2020, Temaplattformens rapportserie. Forte och Svenska ESF-rådet</w:t>
      </w:r>
      <w:r w:rsidR="00C20779">
        <w:rPr>
          <w:rFonts w:asciiTheme="majorHAnsi" w:hAnsiTheme="majorHAnsi" w:cstheme="majorHAnsi"/>
          <w:spacing w:val="6"/>
          <w:sz w:val="14"/>
          <w:szCs w:val="20"/>
        </w:rPr>
        <w:t>.</w:t>
      </w:r>
      <w:r w:rsidRPr="00950E14">
        <w:t xml:space="preserve">  </w:t>
      </w:r>
    </w:p>
    <w:p w14:paraId="53E4DB9B" w14:textId="7CC7A3D6" w:rsidR="001257F6" w:rsidRPr="00950E14" w:rsidRDefault="001257F6">
      <w:pPr>
        <w:pStyle w:val="Fotnotstext"/>
      </w:pPr>
    </w:p>
  </w:footnote>
  <w:footnote w:id="19">
    <w:p w14:paraId="329788FA" w14:textId="268CE909" w:rsidR="00644B2D" w:rsidRPr="00EB0F71" w:rsidRDefault="00644B2D">
      <w:pPr>
        <w:pStyle w:val="Fotnotstext"/>
      </w:pPr>
      <w:r>
        <w:rPr>
          <w:rStyle w:val="Fotnotsreferens"/>
        </w:rPr>
        <w:footnoteRef/>
      </w:r>
      <w:r>
        <w:t xml:space="preserve"> </w:t>
      </w:r>
      <w:r w:rsidRPr="00EB0F71">
        <w:t>Av dessa</w:t>
      </w:r>
      <w:r w:rsidR="007C6E9D">
        <w:t xml:space="preserve"> </w:t>
      </w:r>
      <w:proofErr w:type="spellStart"/>
      <w:r w:rsidR="007C6E9D">
        <w:t>utlysnngar</w:t>
      </w:r>
      <w:proofErr w:type="spellEnd"/>
      <w:r w:rsidRPr="00EB0F71">
        <w:t xml:space="preserve"> avser en de tre storstadsregionerna, en fem mellanstora kommuner som Polisen bedömt som särskilt utsatta och en tio kommuner med färre än 20 000 invånare och som har högst barnfattigdom. </w:t>
      </w:r>
    </w:p>
  </w:footnote>
  <w:footnote w:id="20">
    <w:p w14:paraId="2B775014" w14:textId="6F87DF6A" w:rsidR="002A61E0" w:rsidRPr="00EB0F71" w:rsidRDefault="002A61E0">
      <w:pPr>
        <w:pStyle w:val="Fotnotstext"/>
      </w:pPr>
      <w:r w:rsidRPr="00EB0F71">
        <w:rPr>
          <w:rStyle w:val="Fotnotsreferens"/>
        </w:rPr>
        <w:footnoteRef/>
      </w:r>
      <w:r w:rsidRPr="00EB0F71">
        <w:t xml:space="preserve"> I programområde C används inte projektrapportering till</w:t>
      </w:r>
      <w:r w:rsidR="00596030" w:rsidRPr="00EB0F71">
        <w:t xml:space="preserve"> Statistikmyndigheten SCB</w:t>
      </w:r>
      <w:r w:rsidRPr="00EB0F71">
        <w:t>. Projekten redovisar antalet deltagare via formulär till det interna ärendehanteringssystemet hos Svenska ESF-rådet. Här finns en fördröjning från projektens rapportering som sannolikt kan påverka resultatet något. Det betyder att all</w:t>
      </w:r>
      <w:r w:rsidR="00717AC5" w:rsidRPr="00EB0F71">
        <w:t>a</w:t>
      </w:r>
      <w:r w:rsidRPr="00EB0F71">
        <w:t xml:space="preserve"> data fram till och med 31 december 2024 sannolikt kommer vara tillgänglig</w:t>
      </w:r>
      <w:r w:rsidR="00717AC5" w:rsidRPr="00EB0F71">
        <w:t>a</w:t>
      </w:r>
      <w:r w:rsidRPr="00EB0F71">
        <w:t xml:space="preserve"> först </w:t>
      </w:r>
      <w:r w:rsidR="00644B2D" w:rsidRPr="00EB0F71">
        <w:t xml:space="preserve">i </w:t>
      </w:r>
      <w:r w:rsidRPr="00EB0F71">
        <w:t>mars/april 2025</w:t>
      </w:r>
      <w:r w:rsidR="00C20779">
        <w:t>.</w:t>
      </w:r>
    </w:p>
  </w:footnote>
  <w:footnote w:id="21">
    <w:p w14:paraId="08586BCE" w14:textId="5C096C90" w:rsidR="00B84CE0" w:rsidRDefault="00B84CE0">
      <w:pPr>
        <w:pStyle w:val="Fotnotstext"/>
      </w:pPr>
      <w:r>
        <w:rPr>
          <w:rStyle w:val="Fotnotsreferens"/>
        </w:rPr>
        <w:footnoteRef/>
      </w:r>
      <w:r>
        <w:t xml:space="preserve"> Kompetenscentret ska även genomföra en klusterutvärdering, sammanställa en årlig analysrapport samt genomföra en årlig konferens</w:t>
      </w:r>
      <w:r w:rsidR="00C20779">
        <w:t>.</w:t>
      </w:r>
    </w:p>
  </w:footnote>
  <w:footnote w:id="22">
    <w:p w14:paraId="1C847092" w14:textId="506C887B" w:rsidR="000F7431" w:rsidRDefault="000F7431">
      <w:pPr>
        <w:pStyle w:val="Fotnotstext"/>
      </w:pPr>
      <w:r>
        <w:rPr>
          <w:rStyle w:val="Fotnotsreferens"/>
        </w:rPr>
        <w:footnoteRef/>
      </w:r>
      <w:r>
        <w:t xml:space="preserve"> Delmålet för programområde F (Fast-Care) ingår inte.</w:t>
      </w:r>
      <w:r w:rsidR="006B6EE1">
        <w:t xml:space="preserve"> Insat</w:t>
      </w:r>
      <w:r w:rsidR="004B731D">
        <w:t>s</w:t>
      </w:r>
      <w:r w:rsidR="006B6EE1">
        <w:t xml:space="preserve">erna i Fast-Care är avslutade.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0564" w14:textId="1479889D" w:rsidR="00A40BF7" w:rsidRDefault="00A40BF7" w:rsidP="00A40BF7">
    <w:pPr>
      <w:pStyle w:val="Sidhuvud"/>
      <w:tabs>
        <w:tab w:val="clear" w:pos="4536"/>
        <w:tab w:val="clear" w:pos="9072"/>
        <w:tab w:val="right" w:pos="1247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D050C" w14:paraId="523501CB" w14:textId="77777777" w:rsidTr="00C93EBA">
      <w:trPr>
        <w:trHeight w:val="227"/>
      </w:trPr>
      <w:tc>
        <w:tcPr>
          <w:tcW w:w="5534" w:type="dxa"/>
        </w:tcPr>
        <w:p w14:paraId="5BA57CC7" w14:textId="77777777" w:rsidR="00CD050C" w:rsidRPr="007D73AB" w:rsidRDefault="00CD050C">
          <w:pPr>
            <w:pStyle w:val="Sidhuvud"/>
          </w:pPr>
        </w:p>
      </w:tc>
      <w:sdt>
        <w:sdtPr>
          <w:alias w:val="Status"/>
          <w:tag w:val="ccRKShow_Status"/>
          <w:id w:val="1789383027"/>
          <w:lock w:val="contentLocked"/>
          <w:placeholder>
            <w:docPart w:val="F8DD137996DE4211AC1A736976BBB972"/>
          </w:placeholder>
          <w:text/>
        </w:sdtPr>
        <w:sdtContent>
          <w:tc>
            <w:tcPr>
              <w:tcW w:w="3170" w:type="dxa"/>
              <w:vAlign w:val="bottom"/>
            </w:tcPr>
            <w:p w14:paraId="76B0CE02" w14:textId="30B47474" w:rsidR="00CD050C" w:rsidRPr="007D73AB" w:rsidRDefault="00CD050C" w:rsidP="00340DE0">
              <w:pPr>
                <w:pStyle w:val="Sidhuvud"/>
              </w:pPr>
              <w:r>
                <w:t xml:space="preserve"> </w:t>
              </w:r>
            </w:p>
          </w:tc>
        </w:sdtContent>
      </w:sdt>
      <w:tc>
        <w:tcPr>
          <w:tcW w:w="1134" w:type="dxa"/>
        </w:tcPr>
        <w:p w14:paraId="77DC1C42" w14:textId="77777777" w:rsidR="00CD050C" w:rsidRDefault="00CD050C" w:rsidP="00B15916">
          <w:pPr>
            <w:pStyle w:val="Sidhuvud"/>
          </w:pPr>
        </w:p>
      </w:tc>
    </w:tr>
    <w:tr w:rsidR="00CD050C" w14:paraId="15591018" w14:textId="77777777" w:rsidTr="00C93EBA">
      <w:trPr>
        <w:trHeight w:val="1928"/>
      </w:trPr>
      <w:tc>
        <w:tcPr>
          <w:tcW w:w="5534" w:type="dxa"/>
        </w:tcPr>
        <w:p w14:paraId="56929F4A" w14:textId="7FD63E09" w:rsidR="00CD050C" w:rsidRPr="00340DE0" w:rsidRDefault="00CD050C" w:rsidP="00340DE0">
          <w:pPr>
            <w:pStyle w:val="Sidhuvud"/>
          </w:pPr>
          <w:r>
            <w:rPr>
              <w:noProof/>
            </w:rPr>
            <w:drawing>
              <wp:inline distT="0" distB="0" distL="0" distR="0" wp14:anchorId="5916DB0D" wp14:editId="0C5AA501">
                <wp:extent cx="1748028" cy="505968"/>
                <wp:effectExtent l="0" t="0" r="5080" b="8890"/>
                <wp:docPr id="2063380348" name="Bildobjekt 2063380348"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7828673A" w14:textId="77777777" w:rsidR="00CD050C" w:rsidRDefault="00CD050C" w:rsidP="00EE3C0F">
          <w:pPr>
            <w:pStyle w:val="Sidhuvud"/>
          </w:pPr>
        </w:p>
        <w:p w14:paraId="15A16DF5" w14:textId="77777777" w:rsidR="00A670BC" w:rsidRDefault="00A670BC" w:rsidP="00EE3C0F">
          <w:pPr>
            <w:pStyle w:val="Sidhuvud"/>
          </w:pPr>
        </w:p>
        <w:p w14:paraId="6CD26643" w14:textId="64E5991C" w:rsidR="00C75AC0" w:rsidRDefault="00C75AC0" w:rsidP="00EE3C0F">
          <w:pPr>
            <w:pStyle w:val="Sidhuvud"/>
          </w:pPr>
          <w:r>
            <w:t>2025-02-17</w:t>
          </w:r>
        </w:p>
        <w:p w14:paraId="28450CCD" w14:textId="1A4BE665" w:rsidR="00A670BC" w:rsidRDefault="00B31AE2" w:rsidP="00EE3C0F">
          <w:pPr>
            <w:pStyle w:val="Sidhuvud"/>
          </w:pPr>
          <w:r w:rsidRPr="00B31AE2">
            <w:t>A2025/00143</w:t>
          </w:r>
        </w:p>
        <w:p w14:paraId="3BA0EEFD" w14:textId="77777777" w:rsidR="00A670BC" w:rsidRDefault="00A670BC" w:rsidP="00EE3C0F">
          <w:pPr>
            <w:pStyle w:val="Sidhuvud"/>
          </w:pPr>
        </w:p>
        <w:p w14:paraId="26F2EA05" w14:textId="77777777" w:rsidR="00A670BC" w:rsidRDefault="00A670BC" w:rsidP="00EE3C0F">
          <w:pPr>
            <w:pStyle w:val="Sidhuvud"/>
          </w:pPr>
        </w:p>
        <w:p w14:paraId="18BACE9C" w14:textId="77777777" w:rsidR="00A670BC" w:rsidRDefault="00A670BC" w:rsidP="00EE3C0F">
          <w:pPr>
            <w:pStyle w:val="Sidhuvud"/>
          </w:pPr>
        </w:p>
        <w:sdt>
          <w:sdtPr>
            <w:alias w:val="Recipient"/>
            <w:tag w:val="ccRKShow_Recipient"/>
            <w:id w:val="-934290281"/>
            <w:placeholder>
              <w:docPart w:val="292F68F152564BA6ADF0E101E55F989F"/>
            </w:placeholder>
            <w:dataBinding w:prefixMappings="xmlns:ns0='http://lp/documentinfo/RK' " w:xpath="/ns0:DocumentInfo[1]/ns0:BaseInfo[1]/ns0:Recipient[1]" w:storeItemID="{8A50AC64-2A26-44F5-88E5-B13F36EC6E59}"/>
            <w:text w:multiLine="1"/>
          </w:sdtPr>
          <w:sdtContent>
            <w:p w14:paraId="1E721519" w14:textId="35F9667A" w:rsidR="00A670BC" w:rsidRDefault="00A670BC" w:rsidP="00EE3C0F">
              <w:pPr>
                <w:pStyle w:val="Sidhuvud"/>
              </w:pPr>
              <w:r>
                <w:t>Ledamöterna i Övervakningskommittén för det nationella programmet för Europeiska socialfonden+ 2021–2027</w:t>
              </w:r>
            </w:p>
          </w:sdtContent>
        </w:sdt>
      </w:tc>
      <w:tc>
        <w:tcPr>
          <w:tcW w:w="1134" w:type="dxa"/>
        </w:tcPr>
        <w:p w14:paraId="19A015A9" w14:textId="33B88131" w:rsidR="00CD050C" w:rsidRDefault="00CD050C" w:rsidP="0094502D">
          <w:pPr>
            <w:pStyle w:val="Sidhuvud"/>
          </w:pPr>
        </w:p>
        <w:sdt>
          <w:sdtPr>
            <w:alias w:val="Bilagor"/>
            <w:tag w:val="ccRKShow_Bilagor"/>
            <w:id w:val="1351614755"/>
            <w:placeholder>
              <w:docPart w:val="13511CF5EEDD4225845E20318E0B4AB6"/>
            </w:placeholder>
            <w:showingPlcHdr/>
            <w:dataBinding w:prefixMappings="xmlns:ns0='http://lp/documentinfo/RK' " w:xpath="/ns0:DocumentInfo[1]/ns0:BaseInfo[1]/ns0:Appendix[1]" w:storeItemID="{8A50AC64-2A26-44F5-88E5-B13F36EC6E59}"/>
            <w:text/>
          </w:sdtPr>
          <w:sdtContent>
            <w:p w14:paraId="2D6BA300" w14:textId="77777777" w:rsidR="00CD050C" w:rsidRPr="0094502D" w:rsidRDefault="00CD050C" w:rsidP="00EC71A6">
              <w:pPr>
                <w:pStyle w:val="Sidhuvud"/>
              </w:pPr>
              <w:r>
                <w:rPr>
                  <w:rStyle w:val="Platshllartext"/>
                </w:rPr>
                <w:t xml:space="preserve"> </w:t>
              </w:r>
            </w:p>
          </w:sdtContent>
        </w:sdt>
      </w:tc>
    </w:tr>
    <w:tr w:rsidR="00CD050C" w14:paraId="4FE92589" w14:textId="77777777" w:rsidTr="00C93EBA">
      <w:trPr>
        <w:trHeight w:val="2268"/>
      </w:trPr>
      <w:sdt>
        <w:sdtPr>
          <w:rPr>
            <w:b/>
          </w:rPr>
          <w:alias w:val="SenderText"/>
          <w:tag w:val="ccRKShow_SenderText"/>
          <w:id w:val="-1113133475"/>
          <w:placeholder>
            <w:docPart w:val="AE2AE629FF334F46957306153320EE44"/>
          </w:placeholder>
        </w:sdtPr>
        <w:sdtEndPr>
          <w:rPr>
            <w:b w:val="0"/>
          </w:rPr>
        </w:sdtEndPr>
        <w:sdtContent>
          <w:tc>
            <w:tcPr>
              <w:tcW w:w="5534" w:type="dxa"/>
              <w:tcMar>
                <w:right w:w="1134" w:type="dxa"/>
              </w:tcMar>
            </w:tcPr>
            <w:p w14:paraId="54CEA709" w14:textId="77777777" w:rsidR="00CD050C" w:rsidRPr="00CD050C" w:rsidRDefault="00CD050C" w:rsidP="00340DE0">
              <w:pPr>
                <w:pStyle w:val="Sidhuvud"/>
                <w:rPr>
                  <w:b/>
                </w:rPr>
              </w:pPr>
              <w:r w:rsidRPr="00CD050C">
                <w:rPr>
                  <w:b/>
                </w:rPr>
                <w:t>Arbetsmarknadsdepartementet</w:t>
              </w:r>
            </w:p>
            <w:p w14:paraId="14CB1B13" w14:textId="77777777" w:rsidR="00CD050C" w:rsidRPr="00340DE0" w:rsidRDefault="00CD050C" w:rsidP="00340DE0">
              <w:pPr>
                <w:pStyle w:val="Sidhuvud"/>
              </w:pPr>
            </w:p>
          </w:tc>
        </w:sdtContent>
      </w:sdt>
      <w:tc>
        <w:tcPr>
          <w:tcW w:w="3170" w:type="dxa"/>
        </w:tcPr>
        <w:p w14:paraId="4EDA5DC6" w14:textId="77777777" w:rsidR="00CD050C" w:rsidRDefault="00CD050C" w:rsidP="00547B89">
          <w:pPr>
            <w:pStyle w:val="Sidhuvud"/>
          </w:pPr>
        </w:p>
      </w:tc>
      <w:tc>
        <w:tcPr>
          <w:tcW w:w="1134" w:type="dxa"/>
        </w:tcPr>
        <w:p w14:paraId="2A4C65C6" w14:textId="77777777" w:rsidR="00CD050C" w:rsidRDefault="00CD050C" w:rsidP="003E6020">
          <w:pPr>
            <w:pStyle w:val="Sidhuvud"/>
          </w:pPr>
        </w:p>
      </w:tc>
    </w:tr>
  </w:tbl>
  <w:p w14:paraId="60CE030D" w14:textId="77777777" w:rsidR="008D4508" w:rsidRDefault="008D450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19A8" w14:textId="4CC039C0" w:rsidR="00A40BF7" w:rsidRDefault="00A40BF7" w:rsidP="00547A41">
    <w:pPr>
      <w:pStyle w:val="Sidhuvud"/>
      <w:tabs>
        <w:tab w:val="clear" w:pos="4536"/>
        <w:tab w:val="clear" w:pos="9072"/>
        <w:tab w:val="right" w:pos="12474"/>
      </w:tabs>
      <w:ind w:right="-2041"/>
    </w:pPr>
    <w:r>
      <w:tab/>
    </w:r>
    <w:r w:rsidR="00547A41">
      <w:tab/>
    </w:r>
    <w:r>
      <w:t>Bilaga 1</w:t>
    </w:r>
  </w:p>
  <w:p w14:paraId="003806F3" w14:textId="77777777" w:rsidR="00A40BF7" w:rsidRDefault="00A40BF7" w:rsidP="00A40BF7">
    <w:pPr>
      <w:pStyle w:val="Sidhuvud"/>
      <w:tabs>
        <w:tab w:val="clear" w:pos="4536"/>
        <w:tab w:val="clear" w:pos="9072"/>
        <w:tab w:val="right" w:pos="12616"/>
        <w:tab w:val="right" w:pos="14740"/>
      </w:tabs>
      <w:ind w:right="-204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776"/>
        </w:tabs>
        <w:ind w:left="1776"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C45CE7"/>
    <w:multiLevelType w:val="hybridMultilevel"/>
    <w:tmpl w:val="547CABB4"/>
    <w:lvl w:ilvl="0" w:tplc="55949F7E">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9B0453"/>
    <w:multiLevelType w:val="multilevel"/>
    <w:tmpl w:val="1A20A4CA"/>
    <w:numStyleLink w:val="RKPunktlista"/>
  </w:abstractNum>
  <w:abstractNum w:abstractNumId="8" w15:restartNumberingAfterBreak="0">
    <w:nsid w:val="38FF55E8"/>
    <w:multiLevelType w:val="multilevel"/>
    <w:tmpl w:val="B7F0FEDA"/>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E1445DA"/>
    <w:multiLevelType w:val="multilevel"/>
    <w:tmpl w:val="B7F0FEDA"/>
    <w:numStyleLink w:val="RKNumreradlista"/>
  </w:abstractNum>
  <w:abstractNum w:abstractNumId="1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AC437A"/>
    <w:multiLevelType w:val="multilevel"/>
    <w:tmpl w:val="E2FEA49E"/>
    <w:numStyleLink w:val="RKNumreraderubriker"/>
  </w:abstractNum>
  <w:abstractNum w:abstractNumId="12" w15:restartNumberingAfterBreak="0">
    <w:nsid w:val="76322898"/>
    <w:multiLevelType w:val="multilevel"/>
    <w:tmpl w:val="186C6512"/>
    <w:numStyleLink w:val="Strecklistan"/>
  </w:abstractNum>
  <w:num w:numId="1" w16cid:durableId="1307321919">
    <w:abstractNumId w:val="10"/>
  </w:num>
  <w:num w:numId="2" w16cid:durableId="1399594819">
    <w:abstractNumId w:val="11"/>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num>
  <w:num w:numId="3" w16cid:durableId="1272785371">
    <w:abstractNumId w:val="8"/>
  </w:num>
  <w:num w:numId="4" w16cid:durableId="187984357">
    <w:abstractNumId w:val="6"/>
  </w:num>
  <w:num w:numId="5" w16cid:durableId="1130440822">
    <w:abstractNumId w:val="4"/>
  </w:num>
  <w:num w:numId="6" w16cid:durableId="278224686">
    <w:abstractNumId w:val="7"/>
  </w:num>
  <w:num w:numId="7" w16cid:durableId="1795639154">
    <w:abstractNumId w:val="12"/>
  </w:num>
  <w:num w:numId="8" w16cid:durableId="960961758">
    <w:abstractNumId w:val="1"/>
  </w:num>
  <w:num w:numId="9" w16cid:durableId="1273366805">
    <w:abstractNumId w:val="0"/>
  </w:num>
  <w:num w:numId="10" w16cid:durableId="944389006">
    <w:abstractNumId w:val="3"/>
  </w:num>
  <w:num w:numId="11" w16cid:durableId="1556743331">
    <w:abstractNumId w:val="2"/>
  </w:num>
  <w:num w:numId="12" w16cid:durableId="2102137087">
    <w:abstractNumId w:val="9"/>
  </w:num>
  <w:num w:numId="13" w16cid:durableId="129519541">
    <w:abstractNumId w:val="5"/>
  </w:num>
  <w:num w:numId="14" w16cid:durableId="1806390331">
    <w:abstractNumId w:val="11"/>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num>
  <w:num w:numId="15" w16cid:durableId="876576754">
    <w:abstractNumId w:val="11"/>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0C"/>
    <w:rsid w:val="00000290"/>
    <w:rsid w:val="0000032D"/>
    <w:rsid w:val="00001068"/>
    <w:rsid w:val="00001376"/>
    <w:rsid w:val="000013C2"/>
    <w:rsid w:val="00001A57"/>
    <w:rsid w:val="000024E6"/>
    <w:rsid w:val="00002664"/>
    <w:rsid w:val="00002B24"/>
    <w:rsid w:val="0000412C"/>
    <w:rsid w:val="000042EB"/>
    <w:rsid w:val="00004D5C"/>
    <w:rsid w:val="00004FF0"/>
    <w:rsid w:val="000054A6"/>
    <w:rsid w:val="00005855"/>
    <w:rsid w:val="00005F68"/>
    <w:rsid w:val="00006CA7"/>
    <w:rsid w:val="0001024B"/>
    <w:rsid w:val="00011193"/>
    <w:rsid w:val="000128EB"/>
    <w:rsid w:val="00012B00"/>
    <w:rsid w:val="00013163"/>
    <w:rsid w:val="000145D1"/>
    <w:rsid w:val="00014EF6"/>
    <w:rsid w:val="00016250"/>
    <w:rsid w:val="00016615"/>
    <w:rsid w:val="00016730"/>
    <w:rsid w:val="0001695D"/>
    <w:rsid w:val="00017197"/>
    <w:rsid w:val="0001725B"/>
    <w:rsid w:val="00017BED"/>
    <w:rsid w:val="00017DA7"/>
    <w:rsid w:val="000203B0"/>
    <w:rsid w:val="000205ED"/>
    <w:rsid w:val="0002116F"/>
    <w:rsid w:val="0002213F"/>
    <w:rsid w:val="0002248F"/>
    <w:rsid w:val="000241FA"/>
    <w:rsid w:val="00024B89"/>
    <w:rsid w:val="00024FD3"/>
    <w:rsid w:val="00025149"/>
    <w:rsid w:val="00025992"/>
    <w:rsid w:val="00025AF2"/>
    <w:rsid w:val="00025B22"/>
    <w:rsid w:val="00025C8B"/>
    <w:rsid w:val="000264D5"/>
    <w:rsid w:val="00026711"/>
    <w:rsid w:val="00026867"/>
    <w:rsid w:val="0002708E"/>
    <w:rsid w:val="0002763D"/>
    <w:rsid w:val="00033045"/>
    <w:rsid w:val="0003441C"/>
    <w:rsid w:val="000358C4"/>
    <w:rsid w:val="00035C22"/>
    <w:rsid w:val="0003679E"/>
    <w:rsid w:val="00036EBF"/>
    <w:rsid w:val="00041EDC"/>
    <w:rsid w:val="00041F38"/>
    <w:rsid w:val="00042CE5"/>
    <w:rsid w:val="0004352E"/>
    <w:rsid w:val="0004402D"/>
    <w:rsid w:val="00044C69"/>
    <w:rsid w:val="00044CAC"/>
    <w:rsid w:val="0004597C"/>
    <w:rsid w:val="00045B5C"/>
    <w:rsid w:val="000465A5"/>
    <w:rsid w:val="000465E8"/>
    <w:rsid w:val="00050750"/>
    <w:rsid w:val="0005091F"/>
    <w:rsid w:val="00051341"/>
    <w:rsid w:val="00051950"/>
    <w:rsid w:val="000525CE"/>
    <w:rsid w:val="00052E1F"/>
    <w:rsid w:val="00053645"/>
    <w:rsid w:val="00053685"/>
    <w:rsid w:val="00053CAA"/>
    <w:rsid w:val="00054098"/>
    <w:rsid w:val="000540DD"/>
    <w:rsid w:val="00055875"/>
    <w:rsid w:val="00056025"/>
    <w:rsid w:val="0005661F"/>
    <w:rsid w:val="00056871"/>
    <w:rsid w:val="00056A7D"/>
    <w:rsid w:val="00057FE0"/>
    <w:rsid w:val="00061251"/>
    <w:rsid w:val="000620FD"/>
    <w:rsid w:val="000625C9"/>
    <w:rsid w:val="00063003"/>
    <w:rsid w:val="000631D7"/>
    <w:rsid w:val="00063DCB"/>
    <w:rsid w:val="00063FCB"/>
    <w:rsid w:val="000646ED"/>
    <w:rsid w:val="00064785"/>
    <w:rsid w:val="000647D2"/>
    <w:rsid w:val="00064F3B"/>
    <w:rsid w:val="000656A1"/>
    <w:rsid w:val="000669F1"/>
    <w:rsid w:val="00066BC9"/>
    <w:rsid w:val="00067B39"/>
    <w:rsid w:val="0007033C"/>
    <w:rsid w:val="0007054B"/>
    <w:rsid w:val="000707E9"/>
    <w:rsid w:val="000709B4"/>
    <w:rsid w:val="00072C86"/>
    <w:rsid w:val="00072FFC"/>
    <w:rsid w:val="00073B75"/>
    <w:rsid w:val="000750B2"/>
    <w:rsid w:val="000757FC"/>
    <w:rsid w:val="000757FE"/>
    <w:rsid w:val="00076667"/>
    <w:rsid w:val="00080130"/>
    <w:rsid w:val="00080631"/>
    <w:rsid w:val="00081078"/>
    <w:rsid w:val="00081807"/>
    <w:rsid w:val="00082374"/>
    <w:rsid w:val="00082EFD"/>
    <w:rsid w:val="00083BDA"/>
    <w:rsid w:val="00083D3C"/>
    <w:rsid w:val="000840BC"/>
    <w:rsid w:val="00085E3D"/>
    <w:rsid w:val="000862E0"/>
    <w:rsid w:val="000873C3"/>
    <w:rsid w:val="000915D6"/>
    <w:rsid w:val="00093408"/>
    <w:rsid w:val="00093792"/>
    <w:rsid w:val="00093BBF"/>
    <w:rsid w:val="0009435C"/>
    <w:rsid w:val="00094787"/>
    <w:rsid w:val="00096679"/>
    <w:rsid w:val="00096FE9"/>
    <w:rsid w:val="000A0201"/>
    <w:rsid w:val="000A13CA"/>
    <w:rsid w:val="000A24BB"/>
    <w:rsid w:val="000A3324"/>
    <w:rsid w:val="000A4011"/>
    <w:rsid w:val="000A4164"/>
    <w:rsid w:val="000A456A"/>
    <w:rsid w:val="000A4918"/>
    <w:rsid w:val="000A4B3F"/>
    <w:rsid w:val="000A4D18"/>
    <w:rsid w:val="000A50D0"/>
    <w:rsid w:val="000A553E"/>
    <w:rsid w:val="000A55F5"/>
    <w:rsid w:val="000A5E43"/>
    <w:rsid w:val="000A6936"/>
    <w:rsid w:val="000B0D7E"/>
    <w:rsid w:val="000B0F84"/>
    <w:rsid w:val="000B1B40"/>
    <w:rsid w:val="000B2E87"/>
    <w:rsid w:val="000B416C"/>
    <w:rsid w:val="000B56A9"/>
    <w:rsid w:val="000B7B01"/>
    <w:rsid w:val="000C0529"/>
    <w:rsid w:val="000C109B"/>
    <w:rsid w:val="000C1719"/>
    <w:rsid w:val="000C177F"/>
    <w:rsid w:val="000C1C1D"/>
    <w:rsid w:val="000C38FB"/>
    <w:rsid w:val="000C3DED"/>
    <w:rsid w:val="000C45EC"/>
    <w:rsid w:val="000C578F"/>
    <w:rsid w:val="000C61D1"/>
    <w:rsid w:val="000C69B0"/>
    <w:rsid w:val="000C6CC4"/>
    <w:rsid w:val="000C7C25"/>
    <w:rsid w:val="000D099E"/>
    <w:rsid w:val="000D2FB5"/>
    <w:rsid w:val="000D31A9"/>
    <w:rsid w:val="000D370F"/>
    <w:rsid w:val="000D5449"/>
    <w:rsid w:val="000D5898"/>
    <w:rsid w:val="000D6701"/>
    <w:rsid w:val="000D6C87"/>
    <w:rsid w:val="000D7110"/>
    <w:rsid w:val="000D74C4"/>
    <w:rsid w:val="000E1128"/>
    <w:rsid w:val="000E12D9"/>
    <w:rsid w:val="000E431B"/>
    <w:rsid w:val="000E59A9"/>
    <w:rsid w:val="000E6116"/>
    <w:rsid w:val="000E621C"/>
    <w:rsid w:val="000E638A"/>
    <w:rsid w:val="000E6472"/>
    <w:rsid w:val="000E64CB"/>
    <w:rsid w:val="000F00B8"/>
    <w:rsid w:val="000F0D8F"/>
    <w:rsid w:val="000F1176"/>
    <w:rsid w:val="000F1CDA"/>
    <w:rsid w:val="000F1EA7"/>
    <w:rsid w:val="000F2084"/>
    <w:rsid w:val="000F2A8A"/>
    <w:rsid w:val="000F31C2"/>
    <w:rsid w:val="000F3A92"/>
    <w:rsid w:val="000F3D73"/>
    <w:rsid w:val="000F4EC8"/>
    <w:rsid w:val="000F4EE9"/>
    <w:rsid w:val="000F4EF6"/>
    <w:rsid w:val="000F5E2B"/>
    <w:rsid w:val="000F61FD"/>
    <w:rsid w:val="000F6462"/>
    <w:rsid w:val="000F6AC4"/>
    <w:rsid w:val="000F72EB"/>
    <w:rsid w:val="000F7431"/>
    <w:rsid w:val="0010103F"/>
    <w:rsid w:val="00101DB9"/>
    <w:rsid w:val="00101DE6"/>
    <w:rsid w:val="00103546"/>
    <w:rsid w:val="00103639"/>
    <w:rsid w:val="00104A6D"/>
    <w:rsid w:val="00104CFE"/>
    <w:rsid w:val="001055DA"/>
    <w:rsid w:val="001058C6"/>
    <w:rsid w:val="00105E64"/>
    <w:rsid w:val="001069F8"/>
    <w:rsid w:val="00106F29"/>
    <w:rsid w:val="001070ED"/>
    <w:rsid w:val="001078C5"/>
    <w:rsid w:val="00111826"/>
    <w:rsid w:val="001119DA"/>
    <w:rsid w:val="00111BB2"/>
    <w:rsid w:val="00111C84"/>
    <w:rsid w:val="00112218"/>
    <w:rsid w:val="00112880"/>
    <w:rsid w:val="00112FD6"/>
    <w:rsid w:val="00113168"/>
    <w:rsid w:val="00113D5F"/>
    <w:rsid w:val="0011413E"/>
    <w:rsid w:val="00115797"/>
    <w:rsid w:val="00116BC4"/>
    <w:rsid w:val="0012033A"/>
    <w:rsid w:val="00121002"/>
    <w:rsid w:val="00121EA2"/>
    <w:rsid w:val="00121FFC"/>
    <w:rsid w:val="00122734"/>
    <w:rsid w:val="00122D16"/>
    <w:rsid w:val="0012324A"/>
    <w:rsid w:val="001235D9"/>
    <w:rsid w:val="00124A80"/>
    <w:rsid w:val="00124EEB"/>
    <w:rsid w:val="001254AA"/>
    <w:rsid w:val="001257F6"/>
    <w:rsid w:val="0012582E"/>
    <w:rsid w:val="00125B5E"/>
    <w:rsid w:val="00126E6B"/>
    <w:rsid w:val="00127C5E"/>
    <w:rsid w:val="00130BFA"/>
    <w:rsid w:val="00130EC3"/>
    <w:rsid w:val="001318F5"/>
    <w:rsid w:val="00131C1E"/>
    <w:rsid w:val="001327C0"/>
    <w:rsid w:val="00132DAF"/>
    <w:rsid w:val="001331B1"/>
    <w:rsid w:val="00133CB0"/>
    <w:rsid w:val="00133E31"/>
    <w:rsid w:val="00134837"/>
    <w:rsid w:val="00135111"/>
    <w:rsid w:val="001352D2"/>
    <w:rsid w:val="00135477"/>
    <w:rsid w:val="00140448"/>
    <w:rsid w:val="00141C47"/>
    <w:rsid w:val="00141DA4"/>
    <w:rsid w:val="0014211A"/>
    <w:rsid w:val="001428E2"/>
    <w:rsid w:val="00144598"/>
    <w:rsid w:val="00145773"/>
    <w:rsid w:val="001459BC"/>
    <w:rsid w:val="00145FB9"/>
    <w:rsid w:val="001467F6"/>
    <w:rsid w:val="001472AB"/>
    <w:rsid w:val="00147A83"/>
    <w:rsid w:val="00147D4F"/>
    <w:rsid w:val="00147F23"/>
    <w:rsid w:val="00150E51"/>
    <w:rsid w:val="001517E3"/>
    <w:rsid w:val="0015209B"/>
    <w:rsid w:val="00156171"/>
    <w:rsid w:val="00156AE0"/>
    <w:rsid w:val="00157C43"/>
    <w:rsid w:val="001627C0"/>
    <w:rsid w:val="0016294F"/>
    <w:rsid w:val="001630E7"/>
    <w:rsid w:val="001631EA"/>
    <w:rsid w:val="001640E4"/>
    <w:rsid w:val="00164463"/>
    <w:rsid w:val="00164EB9"/>
    <w:rsid w:val="001659ED"/>
    <w:rsid w:val="00167FA8"/>
    <w:rsid w:val="0017099B"/>
    <w:rsid w:val="00170B3F"/>
    <w:rsid w:val="00170CE4"/>
    <w:rsid w:val="00170E3E"/>
    <w:rsid w:val="00171470"/>
    <w:rsid w:val="0017189C"/>
    <w:rsid w:val="00171C74"/>
    <w:rsid w:val="0017200E"/>
    <w:rsid w:val="00172878"/>
    <w:rsid w:val="0017300E"/>
    <w:rsid w:val="00173126"/>
    <w:rsid w:val="0017345C"/>
    <w:rsid w:val="00173D75"/>
    <w:rsid w:val="0017448F"/>
    <w:rsid w:val="00176A26"/>
    <w:rsid w:val="001774F8"/>
    <w:rsid w:val="00177E4B"/>
    <w:rsid w:val="0018070A"/>
    <w:rsid w:val="0018095E"/>
    <w:rsid w:val="00180B43"/>
    <w:rsid w:val="00180BE1"/>
    <w:rsid w:val="001813DF"/>
    <w:rsid w:val="0018218B"/>
    <w:rsid w:val="0018278E"/>
    <w:rsid w:val="001836DD"/>
    <w:rsid w:val="001837A1"/>
    <w:rsid w:val="001857B5"/>
    <w:rsid w:val="001864D6"/>
    <w:rsid w:val="00186C8F"/>
    <w:rsid w:val="00187191"/>
    <w:rsid w:val="00187D94"/>
    <w:rsid w:val="00187E1F"/>
    <w:rsid w:val="001903E6"/>
    <w:rsid w:val="0019051C"/>
    <w:rsid w:val="00190BBB"/>
    <w:rsid w:val="00190F66"/>
    <w:rsid w:val="0019127B"/>
    <w:rsid w:val="0019199D"/>
    <w:rsid w:val="00192350"/>
    <w:rsid w:val="00192490"/>
    <w:rsid w:val="00192E34"/>
    <w:rsid w:val="0019308B"/>
    <w:rsid w:val="001941B9"/>
    <w:rsid w:val="00195372"/>
    <w:rsid w:val="00195806"/>
    <w:rsid w:val="00196C02"/>
    <w:rsid w:val="00197A74"/>
    <w:rsid w:val="00197A8A"/>
    <w:rsid w:val="001A0E03"/>
    <w:rsid w:val="001A1B33"/>
    <w:rsid w:val="001A233F"/>
    <w:rsid w:val="001A2A61"/>
    <w:rsid w:val="001A4A6D"/>
    <w:rsid w:val="001B03FB"/>
    <w:rsid w:val="001B0B48"/>
    <w:rsid w:val="001B1591"/>
    <w:rsid w:val="001B1594"/>
    <w:rsid w:val="001B46C9"/>
    <w:rsid w:val="001B4824"/>
    <w:rsid w:val="001B4F34"/>
    <w:rsid w:val="001B594C"/>
    <w:rsid w:val="001B6964"/>
    <w:rsid w:val="001B732E"/>
    <w:rsid w:val="001B76D0"/>
    <w:rsid w:val="001C11C7"/>
    <w:rsid w:val="001C19AF"/>
    <w:rsid w:val="001C1A59"/>
    <w:rsid w:val="001C1C7D"/>
    <w:rsid w:val="001C1DFC"/>
    <w:rsid w:val="001C36CB"/>
    <w:rsid w:val="001C4566"/>
    <w:rsid w:val="001C4980"/>
    <w:rsid w:val="001C5DC9"/>
    <w:rsid w:val="001C6B85"/>
    <w:rsid w:val="001C71A9"/>
    <w:rsid w:val="001D05AA"/>
    <w:rsid w:val="001D12FC"/>
    <w:rsid w:val="001D2B52"/>
    <w:rsid w:val="001D3981"/>
    <w:rsid w:val="001D507F"/>
    <w:rsid w:val="001D512F"/>
    <w:rsid w:val="001D761A"/>
    <w:rsid w:val="001E0BD5"/>
    <w:rsid w:val="001E1A13"/>
    <w:rsid w:val="001E20CC"/>
    <w:rsid w:val="001E3838"/>
    <w:rsid w:val="001E3D83"/>
    <w:rsid w:val="001E52D6"/>
    <w:rsid w:val="001E5DF7"/>
    <w:rsid w:val="001E6477"/>
    <w:rsid w:val="001E72EE"/>
    <w:rsid w:val="001F05DB"/>
    <w:rsid w:val="001F0629"/>
    <w:rsid w:val="001F0736"/>
    <w:rsid w:val="001F2669"/>
    <w:rsid w:val="001F2D77"/>
    <w:rsid w:val="001F3912"/>
    <w:rsid w:val="001F3C9A"/>
    <w:rsid w:val="001F4302"/>
    <w:rsid w:val="001F50BE"/>
    <w:rsid w:val="001F525B"/>
    <w:rsid w:val="001F6BBE"/>
    <w:rsid w:val="00200D3E"/>
    <w:rsid w:val="0020130E"/>
    <w:rsid w:val="00201498"/>
    <w:rsid w:val="00201968"/>
    <w:rsid w:val="0020345D"/>
    <w:rsid w:val="00204079"/>
    <w:rsid w:val="00204124"/>
    <w:rsid w:val="00205F41"/>
    <w:rsid w:val="00206155"/>
    <w:rsid w:val="00207139"/>
    <w:rsid w:val="00207859"/>
    <w:rsid w:val="002102FD"/>
    <w:rsid w:val="002115B8"/>
    <w:rsid w:val="002116FE"/>
    <w:rsid w:val="00211B4E"/>
    <w:rsid w:val="002128C6"/>
    <w:rsid w:val="00212B83"/>
    <w:rsid w:val="00212EB8"/>
    <w:rsid w:val="00213204"/>
    <w:rsid w:val="00213258"/>
    <w:rsid w:val="0021328D"/>
    <w:rsid w:val="00213BCE"/>
    <w:rsid w:val="00213E7A"/>
    <w:rsid w:val="00214427"/>
    <w:rsid w:val="00215562"/>
    <w:rsid w:val="002159D6"/>
    <w:rsid w:val="00215A91"/>
    <w:rsid w:val="002161F5"/>
    <w:rsid w:val="00216411"/>
    <w:rsid w:val="0021657C"/>
    <w:rsid w:val="0021734D"/>
    <w:rsid w:val="002177E3"/>
    <w:rsid w:val="00220359"/>
    <w:rsid w:val="002211DE"/>
    <w:rsid w:val="0022187E"/>
    <w:rsid w:val="00222258"/>
    <w:rsid w:val="00222EBB"/>
    <w:rsid w:val="00223AD6"/>
    <w:rsid w:val="00224246"/>
    <w:rsid w:val="002261C1"/>
    <w:rsid w:val="0022666A"/>
    <w:rsid w:val="00227860"/>
    <w:rsid w:val="00227E43"/>
    <w:rsid w:val="00230EE3"/>
    <w:rsid w:val="0023125D"/>
    <w:rsid w:val="002315F5"/>
    <w:rsid w:val="00231F8A"/>
    <w:rsid w:val="00231FB0"/>
    <w:rsid w:val="00232EC3"/>
    <w:rsid w:val="00233D52"/>
    <w:rsid w:val="00234DAC"/>
    <w:rsid w:val="00235629"/>
    <w:rsid w:val="00236084"/>
    <w:rsid w:val="00237147"/>
    <w:rsid w:val="00242AD1"/>
    <w:rsid w:val="00243535"/>
    <w:rsid w:val="00243A93"/>
    <w:rsid w:val="0024412C"/>
    <w:rsid w:val="0024428A"/>
    <w:rsid w:val="00244360"/>
    <w:rsid w:val="0024537C"/>
    <w:rsid w:val="002455FA"/>
    <w:rsid w:val="0024627A"/>
    <w:rsid w:val="0024703C"/>
    <w:rsid w:val="00247E73"/>
    <w:rsid w:val="00251681"/>
    <w:rsid w:val="00252593"/>
    <w:rsid w:val="002557E1"/>
    <w:rsid w:val="00256D12"/>
    <w:rsid w:val="00260D2D"/>
    <w:rsid w:val="00261975"/>
    <w:rsid w:val="00262F2B"/>
    <w:rsid w:val="002637DE"/>
    <w:rsid w:val="002640FC"/>
    <w:rsid w:val="00264503"/>
    <w:rsid w:val="00264A85"/>
    <w:rsid w:val="00264E6E"/>
    <w:rsid w:val="00265BED"/>
    <w:rsid w:val="0026699A"/>
    <w:rsid w:val="00267B50"/>
    <w:rsid w:val="002705EA"/>
    <w:rsid w:val="002708FE"/>
    <w:rsid w:val="00271355"/>
    <w:rsid w:val="00271B6D"/>
    <w:rsid w:val="00271D00"/>
    <w:rsid w:val="0027307F"/>
    <w:rsid w:val="00273439"/>
    <w:rsid w:val="00273A50"/>
    <w:rsid w:val="002748C3"/>
    <w:rsid w:val="00274AA3"/>
    <w:rsid w:val="00275169"/>
    <w:rsid w:val="00275872"/>
    <w:rsid w:val="0027740C"/>
    <w:rsid w:val="00277567"/>
    <w:rsid w:val="00277E8A"/>
    <w:rsid w:val="00281106"/>
    <w:rsid w:val="00281594"/>
    <w:rsid w:val="00282263"/>
    <w:rsid w:val="00282417"/>
    <w:rsid w:val="00282559"/>
    <w:rsid w:val="00282D27"/>
    <w:rsid w:val="00284DAE"/>
    <w:rsid w:val="00286605"/>
    <w:rsid w:val="002869E6"/>
    <w:rsid w:val="00286B58"/>
    <w:rsid w:val="00287F0D"/>
    <w:rsid w:val="00290AF8"/>
    <w:rsid w:val="00290EA4"/>
    <w:rsid w:val="0029195B"/>
    <w:rsid w:val="00292420"/>
    <w:rsid w:val="00292E3D"/>
    <w:rsid w:val="00294664"/>
    <w:rsid w:val="00294E56"/>
    <w:rsid w:val="00295C51"/>
    <w:rsid w:val="00296AA0"/>
    <w:rsid w:val="00296B7A"/>
    <w:rsid w:val="00297474"/>
    <w:rsid w:val="002974DC"/>
    <w:rsid w:val="002A0CB3"/>
    <w:rsid w:val="002A12A9"/>
    <w:rsid w:val="002A29AE"/>
    <w:rsid w:val="002A39EF"/>
    <w:rsid w:val="002A422F"/>
    <w:rsid w:val="002A4A65"/>
    <w:rsid w:val="002A61E0"/>
    <w:rsid w:val="002A6820"/>
    <w:rsid w:val="002B00E5"/>
    <w:rsid w:val="002B0ABC"/>
    <w:rsid w:val="002B2FC9"/>
    <w:rsid w:val="002B347B"/>
    <w:rsid w:val="002B4822"/>
    <w:rsid w:val="002B49EE"/>
    <w:rsid w:val="002B50CA"/>
    <w:rsid w:val="002B5BA8"/>
    <w:rsid w:val="002B6849"/>
    <w:rsid w:val="002C126D"/>
    <w:rsid w:val="002C1D37"/>
    <w:rsid w:val="002C1EA1"/>
    <w:rsid w:val="002C1F66"/>
    <w:rsid w:val="002C2A30"/>
    <w:rsid w:val="002C41F8"/>
    <w:rsid w:val="002C4348"/>
    <w:rsid w:val="002C476F"/>
    <w:rsid w:val="002C5081"/>
    <w:rsid w:val="002C5B48"/>
    <w:rsid w:val="002C5FF3"/>
    <w:rsid w:val="002C63B3"/>
    <w:rsid w:val="002C7632"/>
    <w:rsid w:val="002C79CC"/>
    <w:rsid w:val="002D014F"/>
    <w:rsid w:val="002D1960"/>
    <w:rsid w:val="002D2647"/>
    <w:rsid w:val="002D26C7"/>
    <w:rsid w:val="002D34F7"/>
    <w:rsid w:val="002D3825"/>
    <w:rsid w:val="002D4298"/>
    <w:rsid w:val="002D4545"/>
    <w:rsid w:val="002D4829"/>
    <w:rsid w:val="002D4DA4"/>
    <w:rsid w:val="002D6541"/>
    <w:rsid w:val="002E0C84"/>
    <w:rsid w:val="002E150B"/>
    <w:rsid w:val="002E1819"/>
    <w:rsid w:val="002E2C01"/>
    <w:rsid w:val="002E2C89"/>
    <w:rsid w:val="002E3609"/>
    <w:rsid w:val="002E375D"/>
    <w:rsid w:val="002E3D96"/>
    <w:rsid w:val="002E4D3F"/>
    <w:rsid w:val="002E5668"/>
    <w:rsid w:val="002E5A30"/>
    <w:rsid w:val="002E604A"/>
    <w:rsid w:val="002E61A5"/>
    <w:rsid w:val="002E7A5E"/>
    <w:rsid w:val="002E7BE4"/>
    <w:rsid w:val="002F343C"/>
    <w:rsid w:val="002F3675"/>
    <w:rsid w:val="002F512B"/>
    <w:rsid w:val="002F59E0"/>
    <w:rsid w:val="002F66A6"/>
    <w:rsid w:val="002F6842"/>
    <w:rsid w:val="002F7FAD"/>
    <w:rsid w:val="00300342"/>
    <w:rsid w:val="00302B78"/>
    <w:rsid w:val="00302CC3"/>
    <w:rsid w:val="00302FC4"/>
    <w:rsid w:val="0030345D"/>
    <w:rsid w:val="00303EBF"/>
    <w:rsid w:val="0030414B"/>
    <w:rsid w:val="00304401"/>
    <w:rsid w:val="003048B1"/>
    <w:rsid w:val="00304A57"/>
    <w:rsid w:val="003050DB"/>
    <w:rsid w:val="003052DB"/>
    <w:rsid w:val="00306050"/>
    <w:rsid w:val="00307151"/>
    <w:rsid w:val="003100AD"/>
    <w:rsid w:val="00310561"/>
    <w:rsid w:val="00311D8C"/>
    <w:rsid w:val="0031273D"/>
    <w:rsid w:val="003128E2"/>
    <w:rsid w:val="00313A77"/>
    <w:rsid w:val="00313DC9"/>
    <w:rsid w:val="003153D9"/>
    <w:rsid w:val="00316F87"/>
    <w:rsid w:val="003172B4"/>
    <w:rsid w:val="00317BBC"/>
    <w:rsid w:val="00320882"/>
    <w:rsid w:val="00320EA7"/>
    <w:rsid w:val="00321621"/>
    <w:rsid w:val="00321A45"/>
    <w:rsid w:val="0032247C"/>
    <w:rsid w:val="00322BC8"/>
    <w:rsid w:val="00323EF7"/>
    <w:rsid w:val="00324085"/>
    <w:rsid w:val="003240E1"/>
    <w:rsid w:val="00326C03"/>
    <w:rsid w:val="00327474"/>
    <w:rsid w:val="003277B5"/>
    <w:rsid w:val="00327F24"/>
    <w:rsid w:val="00330625"/>
    <w:rsid w:val="00333739"/>
    <w:rsid w:val="00333DED"/>
    <w:rsid w:val="003342B4"/>
    <w:rsid w:val="0033487B"/>
    <w:rsid w:val="00336CD1"/>
    <w:rsid w:val="00337663"/>
    <w:rsid w:val="00340DE0"/>
    <w:rsid w:val="003415C7"/>
    <w:rsid w:val="00341F47"/>
    <w:rsid w:val="0034210D"/>
    <w:rsid w:val="00342327"/>
    <w:rsid w:val="0034250B"/>
    <w:rsid w:val="00344234"/>
    <w:rsid w:val="00345010"/>
    <w:rsid w:val="003467CD"/>
    <w:rsid w:val="00346E75"/>
    <w:rsid w:val="0034750A"/>
    <w:rsid w:val="00347C69"/>
    <w:rsid w:val="00347E11"/>
    <w:rsid w:val="003503DD"/>
    <w:rsid w:val="0035048B"/>
    <w:rsid w:val="0035063E"/>
    <w:rsid w:val="00350696"/>
    <w:rsid w:val="00350C92"/>
    <w:rsid w:val="00352925"/>
    <w:rsid w:val="00353067"/>
    <w:rsid w:val="00353C5D"/>
    <w:rsid w:val="003542C5"/>
    <w:rsid w:val="00354CBE"/>
    <w:rsid w:val="003550C0"/>
    <w:rsid w:val="00356CBA"/>
    <w:rsid w:val="003578EF"/>
    <w:rsid w:val="00360397"/>
    <w:rsid w:val="00361220"/>
    <w:rsid w:val="0036211A"/>
    <w:rsid w:val="00365461"/>
    <w:rsid w:val="00367EDA"/>
    <w:rsid w:val="00370311"/>
    <w:rsid w:val="00371278"/>
    <w:rsid w:val="00373148"/>
    <w:rsid w:val="003732B0"/>
    <w:rsid w:val="00375126"/>
    <w:rsid w:val="00375882"/>
    <w:rsid w:val="003766C9"/>
    <w:rsid w:val="00377C35"/>
    <w:rsid w:val="00377CF1"/>
    <w:rsid w:val="00380113"/>
    <w:rsid w:val="003801E1"/>
    <w:rsid w:val="00380663"/>
    <w:rsid w:val="00381812"/>
    <w:rsid w:val="00383CFE"/>
    <w:rsid w:val="00384FB3"/>
    <w:rsid w:val="003853E3"/>
    <w:rsid w:val="0038587E"/>
    <w:rsid w:val="00386F98"/>
    <w:rsid w:val="00391D4F"/>
    <w:rsid w:val="00392ED4"/>
    <w:rsid w:val="00393207"/>
    <w:rsid w:val="00393680"/>
    <w:rsid w:val="00393A7F"/>
    <w:rsid w:val="00394C26"/>
    <w:rsid w:val="00394D4C"/>
    <w:rsid w:val="00395D9F"/>
    <w:rsid w:val="00396E5E"/>
    <w:rsid w:val="00397242"/>
    <w:rsid w:val="00397369"/>
    <w:rsid w:val="003A1315"/>
    <w:rsid w:val="003A18CB"/>
    <w:rsid w:val="003A2E73"/>
    <w:rsid w:val="003A3071"/>
    <w:rsid w:val="003A3867"/>
    <w:rsid w:val="003A3A54"/>
    <w:rsid w:val="003A3FF6"/>
    <w:rsid w:val="003A4B1A"/>
    <w:rsid w:val="003A4B9F"/>
    <w:rsid w:val="003A520E"/>
    <w:rsid w:val="003A551B"/>
    <w:rsid w:val="003A586B"/>
    <w:rsid w:val="003A5969"/>
    <w:rsid w:val="003A5C58"/>
    <w:rsid w:val="003B00D8"/>
    <w:rsid w:val="003B061D"/>
    <w:rsid w:val="003B0C81"/>
    <w:rsid w:val="003B0EEB"/>
    <w:rsid w:val="003B16C7"/>
    <w:rsid w:val="003B201F"/>
    <w:rsid w:val="003B255D"/>
    <w:rsid w:val="003B3408"/>
    <w:rsid w:val="003B6845"/>
    <w:rsid w:val="003C1553"/>
    <w:rsid w:val="003C16E9"/>
    <w:rsid w:val="003C1A9A"/>
    <w:rsid w:val="003C36FA"/>
    <w:rsid w:val="003C4A7E"/>
    <w:rsid w:val="003C5035"/>
    <w:rsid w:val="003C6334"/>
    <w:rsid w:val="003C6ED4"/>
    <w:rsid w:val="003C759B"/>
    <w:rsid w:val="003C7761"/>
    <w:rsid w:val="003C7BE0"/>
    <w:rsid w:val="003D0DD3"/>
    <w:rsid w:val="003D1707"/>
    <w:rsid w:val="003D17EF"/>
    <w:rsid w:val="003D1E8C"/>
    <w:rsid w:val="003D2A15"/>
    <w:rsid w:val="003D3535"/>
    <w:rsid w:val="003D4246"/>
    <w:rsid w:val="003D49D2"/>
    <w:rsid w:val="003D4CA1"/>
    <w:rsid w:val="003D4D9F"/>
    <w:rsid w:val="003D5660"/>
    <w:rsid w:val="003D6C46"/>
    <w:rsid w:val="003D6F1C"/>
    <w:rsid w:val="003D7B03"/>
    <w:rsid w:val="003E0C04"/>
    <w:rsid w:val="003E0E24"/>
    <w:rsid w:val="003E1927"/>
    <w:rsid w:val="003E1F86"/>
    <w:rsid w:val="003E30BD"/>
    <w:rsid w:val="003E38CE"/>
    <w:rsid w:val="003E4629"/>
    <w:rsid w:val="003E48AF"/>
    <w:rsid w:val="003E4A53"/>
    <w:rsid w:val="003E5698"/>
    <w:rsid w:val="003E5A50"/>
    <w:rsid w:val="003E6020"/>
    <w:rsid w:val="003E6995"/>
    <w:rsid w:val="003E7AE1"/>
    <w:rsid w:val="003E7CA0"/>
    <w:rsid w:val="003F0F8B"/>
    <w:rsid w:val="003F10F9"/>
    <w:rsid w:val="003F1F1F"/>
    <w:rsid w:val="003F2550"/>
    <w:rsid w:val="003F299F"/>
    <w:rsid w:val="003F2B15"/>
    <w:rsid w:val="003F2F1D"/>
    <w:rsid w:val="003F392A"/>
    <w:rsid w:val="003F468E"/>
    <w:rsid w:val="003F48F9"/>
    <w:rsid w:val="003F593A"/>
    <w:rsid w:val="003F59B4"/>
    <w:rsid w:val="003F6B53"/>
    <w:rsid w:val="003F6B92"/>
    <w:rsid w:val="004008FB"/>
    <w:rsid w:val="0040090E"/>
    <w:rsid w:val="0040154C"/>
    <w:rsid w:val="00403D11"/>
    <w:rsid w:val="004048F7"/>
    <w:rsid w:val="00404DB4"/>
    <w:rsid w:val="00405456"/>
    <w:rsid w:val="004054EA"/>
    <w:rsid w:val="004060B1"/>
    <w:rsid w:val="00406591"/>
    <w:rsid w:val="00407C2B"/>
    <w:rsid w:val="0041093C"/>
    <w:rsid w:val="0041130A"/>
    <w:rsid w:val="00411475"/>
    <w:rsid w:val="0041223B"/>
    <w:rsid w:val="004137EE"/>
    <w:rsid w:val="00413944"/>
    <w:rsid w:val="00413A4E"/>
    <w:rsid w:val="00415163"/>
    <w:rsid w:val="00415273"/>
    <w:rsid w:val="004157BE"/>
    <w:rsid w:val="00416E41"/>
    <w:rsid w:val="00420259"/>
    <w:rsid w:val="004202CC"/>
    <w:rsid w:val="0042068E"/>
    <w:rsid w:val="0042186F"/>
    <w:rsid w:val="00421C61"/>
    <w:rsid w:val="00422030"/>
    <w:rsid w:val="00422A7F"/>
    <w:rsid w:val="00424390"/>
    <w:rsid w:val="0042460B"/>
    <w:rsid w:val="0042480C"/>
    <w:rsid w:val="00425345"/>
    <w:rsid w:val="00425CAE"/>
    <w:rsid w:val="00426213"/>
    <w:rsid w:val="00427429"/>
    <w:rsid w:val="00431A7B"/>
    <w:rsid w:val="0043235B"/>
    <w:rsid w:val="004328FF"/>
    <w:rsid w:val="004336C3"/>
    <w:rsid w:val="00433F65"/>
    <w:rsid w:val="0043623F"/>
    <w:rsid w:val="00436E0C"/>
    <w:rsid w:val="004370A8"/>
    <w:rsid w:val="00437459"/>
    <w:rsid w:val="004403E0"/>
    <w:rsid w:val="00440B9E"/>
    <w:rsid w:val="00441D70"/>
    <w:rsid w:val="00442172"/>
    <w:rsid w:val="004425C2"/>
    <w:rsid w:val="00442AE1"/>
    <w:rsid w:val="004451EF"/>
    <w:rsid w:val="00445604"/>
    <w:rsid w:val="00445693"/>
    <w:rsid w:val="00445F5E"/>
    <w:rsid w:val="00446BAE"/>
    <w:rsid w:val="004473F2"/>
    <w:rsid w:val="004508BA"/>
    <w:rsid w:val="00451093"/>
    <w:rsid w:val="004525C5"/>
    <w:rsid w:val="0045363D"/>
    <w:rsid w:val="00453895"/>
    <w:rsid w:val="00453EC9"/>
    <w:rsid w:val="004557F3"/>
    <w:rsid w:val="0045607E"/>
    <w:rsid w:val="00456D6A"/>
    <w:rsid w:val="00456DC3"/>
    <w:rsid w:val="004600D3"/>
    <w:rsid w:val="004604F9"/>
    <w:rsid w:val="004616F2"/>
    <w:rsid w:val="0046222F"/>
    <w:rsid w:val="0046337E"/>
    <w:rsid w:val="004634C8"/>
    <w:rsid w:val="0046396F"/>
    <w:rsid w:val="00464366"/>
    <w:rsid w:val="00464C70"/>
    <w:rsid w:val="00464CA1"/>
    <w:rsid w:val="0046520E"/>
    <w:rsid w:val="004660C8"/>
    <w:rsid w:val="00467BC8"/>
    <w:rsid w:val="00467DE0"/>
    <w:rsid w:val="00467DEF"/>
    <w:rsid w:val="0047001E"/>
    <w:rsid w:val="00472EBA"/>
    <w:rsid w:val="004735B6"/>
    <w:rsid w:val="004735F0"/>
    <w:rsid w:val="004745D7"/>
    <w:rsid w:val="00474676"/>
    <w:rsid w:val="0047500F"/>
    <w:rsid w:val="0047511B"/>
    <w:rsid w:val="00475B99"/>
    <w:rsid w:val="004768F3"/>
    <w:rsid w:val="00476C60"/>
    <w:rsid w:val="00477628"/>
    <w:rsid w:val="00477BB6"/>
    <w:rsid w:val="00480527"/>
    <w:rsid w:val="00480604"/>
    <w:rsid w:val="00480A8A"/>
    <w:rsid w:val="00480EC3"/>
    <w:rsid w:val="004814F2"/>
    <w:rsid w:val="00482EA0"/>
    <w:rsid w:val="00482EED"/>
    <w:rsid w:val="0048317E"/>
    <w:rsid w:val="00483BF1"/>
    <w:rsid w:val="0048412E"/>
    <w:rsid w:val="004845F3"/>
    <w:rsid w:val="00485601"/>
    <w:rsid w:val="004865B8"/>
    <w:rsid w:val="00486854"/>
    <w:rsid w:val="00486A76"/>
    <w:rsid w:val="00486C0D"/>
    <w:rsid w:val="004872E4"/>
    <w:rsid w:val="00490840"/>
    <w:rsid w:val="00490DC2"/>
    <w:rsid w:val="004911D9"/>
    <w:rsid w:val="00491796"/>
    <w:rsid w:val="00492D89"/>
    <w:rsid w:val="00492FFC"/>
    <w:rsid w:val="00493416"/>
    <w:rsid w:val="00493895"/>
    <w:rsid w:val="0049423C"/>
    <w:rsid w:val="004949C2"/>
    <w:rsid w:val="004951AB"/>
    <w:rsid w:val="00496D10"/>
    <w:rsid w:val="0049768A"/>
    <w:rsid w:val="004A0CDD"/>
    <w:rsid w:val="004A1906"/>
    <w:rsid w:val="004A1C1B"/>
    <w:rsid w:val="004A1E00"/>
    <w:rsid w:val="004A2EE9"/>
    <w:rsid w:val="004A33C6"/>
    <w:rsid w:val="004A3649"/>
    <w:rsid w:val="004A3D62"/>
    <w:rsid w:val="004A5347"/>
    <w:rsid w:val="004A5F9B"/>
    <w:rsid w:val="004A66B1"/>
    <w:rsid w:val="004A7DC4"/>
    <w:rsid w:val="004B00E3"/>
    <w:rsid w:val="004B0F88"/>
    <w:rsid w:val="004B1E7B"/>
    <w:rsid w:val="004B3029"/>
    <w:rsid w:val="004B352B"/>
    <w:rsid w:val="004B35E7"/>
    <w:rsid w:val="004B4311"/>
    <w:rsid w:val="004B4B73"/>
    <w:rsid w:val="004B589B"/>
    <w:rsid w:val="004B5B94"/>
    <w:rsid w:val="004B63BF"/>
    <w:rsid w:val="004B66DA"/>
    <w:rsid w:val="004B696B"/>
    <w:rsid w:val="004B731D"/>
    <w:rsid w:val="004B7B22"/>
    <w:rsid w:val="004B7DFF"/>
    <w:rsid w:val="004C194C"/>
    <w:rsid w:val="004C2D89"/>
    <w:rsid w:val="004C3A3F"/>
    <w:rsid w:val="004C3DEC"/>
    <w:rsid w:val="004C4114"/>
    <w:rsid w:val="004C4BC0"/>
    <w:rsid w:val="004C52AA"/>
    <w:rsid w:val="004C5686"/>
    <w:rsid w:val="004C70EE"/>
    <w:rsid w:val="004C73DC"/>
    <w:rsid w:val="004D055F"/>
    <w:rsid w:val="004D08BB"/>
    <w:rsid w:val="004D0FB0"/>
    <w:rsid w:val="004D1494"/>
    <w:rsid w:val="004D1C0A"/>
    <w:rsid w:val="004D2A18"/>
    <w:rsid w:val="004D2D69"/>
    <w:rsid w:val="004D4A86"/>
    <w:rsid w:val="004D4FE8"/>
    <w:rsid w:val="004D5EE2"/>
    <w:rsid w:val="004D6D41"/>
    <w:rsid w:val="004D766C"/>
    <w:rsid w:val="004E0C82"/>
    <w:rsid w:val="004E0FA8"/>
    <w:rsid w:val="004E10CC"/>
    <w:rsid w:val="004E1A07"/>
    <w:rsid w:val="004E1C36"/>
    <w:rsid w:val="004E1DE3"/>
    <w:rsid w:val="004E2147"/>
    <w:rsid w:val="004E251B"/>
    <w:rsid w:val="004E25CD"/>
    <w:rsid w:val="004E2A4B"/>
    <w:rsid w:val="004E332F"/>
    <w:rsid w:val="004E4419"/>
    <w:rsid w:val="004E4F7F"/>
    <w:rsid w:val="004E5A25"/>
    <w:rsid w:val="004E5DC4"/>
    <w:rsid w:val="004E6D22"/>
    <w:rsid w:val="004E7F82"/>
    <w:rsid w:val="004F0448"/>
    <w:rsid w:val="004F1AC1"/>
    <w:rsid w:val="004F1EA0"/>
    <w:rsid w:val="004F37BC"/>
    <w:rsid w:val="004F4021"/>
    <w:rsid w:val="004F5640"/>
    <w:rsid w:val="004F6525"/>
    <w:rsid w:val="004F6986"/>
    <w:rsid w:val="004F6FE2"/>
    <w:rsid w:val="004F7654"/>
    <w:rsid w:val="004F79F2"/>
    <w:rsid w:val="00500B77"/>
    <w:rsid w:val="005011D9"/>
    <w:rsid w:val="00501870"/>
    <w:rsid w:val="0050238B"/>
    <w:rsid w:val="00503F93"/>
    <w:rsid w:val="00505905"/>
    <w:rsid w:val="00511379"/>
    <w:rsid w:val="00511A1B"/>
    <w:rsid w:val="00511A68"/>
    <w:rsid w:val="005121C0"/>
    <w:rsid w:val="00513E7D"/>
    <w:rsid w:val="0051432B"/>
    <w:rsid w:val="00514A67"/>
    <w:rsid w:val="00514E41"/>
    <w:rsid w:val="0051563C"/>
    <w:rsid w:val="00515921"/>
    <w:rsid w:val="00520A46"/>
    <w:rsid w:val="00521192"/>
    <w:rsid w:val="0052127C"/>
    <w:rsid w:val="005225FA"/>
    <w:rsid w:val="00523706"/>
    <w:rsid w:val="0052562D"/>
    <w:rsid w:val="00526AEB"/>
    <w:rsid w:val="00526F04"/>
    <w:rsid w:val="00530209"/>
    <w:rsid w:val="005302E0"/>
    <w:rsid w:val="00531F1E"/>
    <w:rsid w:val="00533A04"/>
    <w:rsid w:val="00533CC5"/>
    <w:rsid w:val="00534F51"/>
    <w:rsid w:val="0053711C"/>
    <w:rsid w:val="0053715B"/>
    <w:rsid w:val="005376F6"/>
    <w:rsid w:val="00541006"/>
    <w:rsid w:val="00544738"/>
    <w:rsid w:val="00544AE2"/>
    <w:rsid w:val="005453E4"/>
    <w:rsid w:val="005456E4"/>
    <w:rsid w:val="00547A41"/>
    <w:rsid w:val="00547B89"/>
    <w:rsid w:val="00551027"/>
    <w:rsid w:val="00554F8C"/>
    <w:rsid w:val="00555B71"/>
    <w:rsid w:val="00555F2D"/>
    <w:rsid w:val="005568AF"/>
    <w:rsid w:val="00556AF5"/>
    <w:rsid w:val="00557F30"/>
    <w:rsid w:val="00560241"/>
    <w:rsid w:val="005606BC"/>
    <w:rsid w:val="00561C6D"/>
    <w:rsid w:val="00563E4E"/>
    <w:rsid w:val="00563E73"/>
    <w:rsid w:val="00563FC2"/>
    <w:rsid w:val="0056426C"/>
    <w:rsid w:val="00564B97"/>
    <w:rsid w:val="00565792"/>
    <w:rsid w:val="00567351"/>
    <w:rsid w:val="00567415"/>
    <w:rsid w:val="00567799"/>
    <w:rsid w:val="005701F5"/>
    <w:rsid w:val="005710DE"/>
    <w:rsid w:val="00571A0B"/>
    <w:rsid w:val="00573DFD"/>
    <w:rsid w:val="005747D0"/>
    <w:rsid w:val="00574C95"/>
    <w:rsid w:val="00574CFB"/>
    <w:rsid w:val="005759F7"/>
    <w:rsid w:val="00575AF8"/>
    <w:rsid w:val="00581932"/>
    <w:rsid w:val="005827D5"/>
    <w:rsid w:val="00582918"/>
    <w:rsid w:val="005842BC"/>
    <w:rsid w:val="005849E3"/>
    <w:rsid w:val="005850D7"/>
    <w:rsid w:val="005851FB"/>
    <w:rsid w:val="0058522F"/>
    <w:rsid w:val="00585282"/>
    <w:rsid w:val="00585B60"/>
    <w:rsid w:val="005860AC"/>
    <w:rsid w:val="00586266"/>
    <w:rsid w:val="0058703B"/>
    <w:rsid w:val="00590DC2"/>
    <w:rsid w:val="00591FE7"/>
    <w:rsid w:val="00592727"/>
    <w:rsid w:val="00592C0F"/>
    <w:rsid w:val="00594A21"/>
    <w:rsid w:val="00595EDE"/>
    <w:rsid w:val="00596030"/>
    <w:rsid w:val="00596E2B"/>
    <w:rsid w:val="00597591"/>
    <w:rsid w:val="005A035F"/>
    <w:rsid w:val="005A0CBA"/>
    <w:rsid w:val="005A2022"/>
    <w:rsid w:val="005A2183"/>
    <w:rsid w:val="005A3272"/>
    <w:rsid w:val="005A37C8"/>
    <w:rsid w:val="005A3B68"/>
    <w:rsid w:val="005A405F"/>
    <w:rsid w:val="005A5193"/>
    <w:rsid w:val="005A6034"/>
    <w:rsid w:val="005A7945"/>
    <w:rsid w:val="005A7AC1"/>
    <w:rsid w:val="005B0B5E"/>
    <w:rsid w:val="005B115A"/>
    <w:rsid w:val="005B21E6"/>
    <w:rsid w:val="005B2568"/>
    <w:rsid w:val="005B2D6F"/>
    <w:rsid w:val="005B2DCA"/>
    <w:rsid w:val="005B537F"/>
    <w:rsid w:val="005B710F"/>
    <w:rsid w:val="005C0349"/>
    <w:rsid w:val="005C040A"/>
    <w:rsid w:val="005C120D"/>
    <w:rsid w:val="005C15B3"/>
    <w:rsid w:val="005C1692"/>
    <w:rsid w:val="005C1F95"/>
    <w:rsid w:val="005C255B"/>
    <w:rsid w:val="005C4740"/>
    <w:rsid w:val="005C47C8"/>
    <w:rsid w:val="005C4CC9"/>
    <w:rsid w:val="005C5509"/>
    <w:rsid w:val="005C6F80"/>
    <w:rsid w:val="005C75AA"/>
    <w:rsid w:val="005C77F2"/>
    <w:rsid w:val="005D07C2"/>
    <w:rsid w:val="005D09B5"/>
    <w:rsid w:val="005D1E5F"/>
    <w:rsid w:val="005D23A7"/>
    <w:rsid w:val="005D5022"/>
    <w:rsid w:val="005D5216"/>
    <w:rsid w:val="005D562C"/>
    <w:rsid w:val="005D5720"/>
    <w:rsid w:val="005D64B9"/>
    <w:rsid w:val="005D683F"/>
    <w:rsid w:val="005E0513"/>
    <w:rsid w:val="005E05A9"/>
    <w:rsid w:val="005E05B0"/>
    <w:rsid w:val="005E1F2E"/>
    <w:rsid w:val="005E2DDA"/>
    <w:rsid w:val="005E2F29"/>
    <w:rsid w:val="005E400D"/>
    <w:rsid w:val="005E49A6"/>
    <w:rsid w:val="005E49D4"/>
    <w:rsid w:val="005E4E79"/>
    <w:rsid w:val="005E573E"/>
    <w:rsid w:val="005E5A5E"/>
    <w:rsid w:val="005E5CE7"/>
    <w:rsid w:val="005E5D64"/>
    <w:rsid w:val="005E6B63"/>
    <w:rsid w:val="005E790C"/>
    <w:rsid w:val="005F0143"/>
    <w:rsid w:val="005F08C5"/>
    <w:rsid w:val="005F1D93"/>
    <w:rsid w:val="005F4CAB"/>
    <w:rsid w:val="005F6EB0"/>
    <w:rsid w:val="005F72E1"/>
    <w:rsid w:val="005F7B84"/>
    <w:rsid w:val="005F7FB3"/>
    <w:rsid w:val="00600140"/>
    <w:rsid w:val="00600F82"/>
    <w:rsid w:val="006028EB"/>
    <w:rsid w:val="00603FBD"/>
    <w:rsid w:val="00604782"/>
    <w:rsid w:val="00604969"/>
    <w:rsid w:val="00604BA8"/>
    <w:rsid w:val="00604EFC"/>
    <w:rsid w:val="00605718"/>
    <w:rsid w:val="00605A65"/>
    <w:rsid w:val="00605C66"/>
    <w:rsid w:val="00606310"/>
    <w:rsid w:val="0060658D"/>
    <w:rsid w:val="006069E8"/>
    <w:rsid w:val="00606AAE"/>
    <w:rsid w:val="00606FB5"/>
    <w:rsid w:val="00607814"/>
    <w:rsid w:val="00610D87"/>
    <w:rsid w:val="00610E88"/>
    <w:rsid w:val="006111AE"/>
    <w:rsid w:val="00611CEF"/>
    <w:rsid w:val="006128BB"/>
    <w:rsid w:val="00612C99"/>
    <w:rsid w:val="00613827"/>
    <w:rsid w:val="00615AF5"/>
    <w:rsid w:val="006173F6"/>
    <w:rsid w:val="006175D7"/>
    <w:rsid w:val="006179B6"/>
    <w:rsid w:val="006208E5"/>
    <w:rsid w:val="00622BAB"/>
    <w:rsid w:val="00622F5A"/>
    <w:rsid w:val="0062666D"/>
    <w:rsid w:val="006273E4"/>
    <w:rsid w:val="00627EE9"/>
    <w:rsid w:val="006303F6"/>
    <w:rsid w:val="00631EF3"/>
    <w:rsid w:val="00631F82"/>
    <w:rsid w:val="00632035"/>
    <w:rsid w:val="00632A00"/>
    <w:rsid w:val="00632EFD"/>
    <w:rsid w:val="00633999"/>
    <w:rsid w:val="00633B59"/>
    <w:rsid w:val="00634EF4"/>
    <w:rsid w:val="0063514D"/>
    <w:rsid w:val="006357D0"/>
    <w:rsid w:val="006358C8"/>
    <w:rsid w:val="00636B5F"/>
    <w:rsid w:val="00640915"/>
    <w:rsid w:val="0064133A"/>
    <w:rsid w:val="006416D1"/>
    <w:rsid w:val="00641826"/>
    <w:rsid w:val="006429F4"/>
    <w:rsid w:val="00642A84"/>
    <w:rsid w:val="00643263"/>
    <w:rsid w:val="0064423F"/>
    <w:rsid w:val="00644B2D"/>
    <w:rsid w:val="00645DC0"/>
    <w:rsid w:val="00647FD7"/>
    <w:rsid w:val="00650080"/>
    <w:rsid w:val="006503AC"/>
    <w:rsid w:val="0065118D"/>
    <w:rsid w:val="00651F17"/>
    <w:rsid w:val="0065382D"/>
    <w:rsid w:val="00654B4D"/>
    <w:rsid w:val="0065559D"/>
    <w:rsid w:val="00655683"/>
    <w:rsid w:val="00655A40"/>
    <w:rsid w:val="00656036"/>
    <w:rsid w:val="00657D73"/>
    <w:rsid w:val="00657E0D"/>
    <w:rsid w:val="006609F2"/>
    <w:rsid w:val="00660D84"/>
    <w:rsid w:val="0066133A"/>
    <w:rsid w:val="00663196"/>
    <w:rsid w:val="0066378C"/>
    <w:rsid w:val="006641A8"/>
    <w:rsid w:val="0066433C"/>
    <w:rsid w:val="00666979"/>
    <w:rsid w:val="00666B8B"/>
    <w:rsid w:val="00667125"/>
    <w:rsid w:val="006675D3"/>
    <w:rsid w:val="006700F0"/>
    <w:rsid w:val="006706EA"/>
    <w:rsid w:val="00670A48"/>
    <w:rsid w:val="00671239"/>
    <w:rsid w:val="00671A6C"/>
    <w:rsid w:val="00672467"/>
    <w:rsid w:val="00672F6F"/>
    <w:rsid w:val="00674695"/>
    <w:rsid w:val="00674C2F"/>
    <w:rsid w:val="00674C8B"/>
    <w:rsid w:val="006763F6"/>
    <w:rsid w:val="00677F66"/>
    <w:rsid w:val="00680C52"/>
    <w:rsid w:val="00682A3C"/>
    <w:rsid w:val="00682BB1"/>
    <w:rsid w:val="00684355"/>
    <w:rsid w:val="006844A2"/>
    <w:rsid w:val="00685C94"/>
    <w:rsid w:val="00686232"/>
    <w:rsid w:val="006916C1"/>
    <w:rsid w:val="00691AEE"/>
    <w:rsid w:val="00693EC9"/>
    <w:rsid w:val="006940FE"/>
    <w:rsid w:val="00694A14"/>
    <w:rsid w:val="00694A1E"/>
    <w:rsid w:val="0069523C"/>
    <w:rsid w:val="006962B3"/>
    <w:rsid w:val="006962CA"/>
    <w:rsid w:val="00696951"/>
    <w:rsid w:val="00696A95"/>
    <w:rsid w:val="00696EA8"/>
    <w:rsid w:val="00696F98"/>
    <w:rsid w:val="006A09DA"/>
    <w:rsid w:val="006A0FBE"/>
    <w:rsid w:val="006A1064"/>
    <w:rsid w:val="006A1466"/>
    <w:rsid w:val="006A1835"/>
    <w:rsid w:val="006A1B1D"/>
    <w:rsid w:val="006A1D56"/>
    <w:rsid w:val="006A2625"/>
    <w:rsid w:val="006A2CC4"/>
    <w:rsid w:val="006A3F27"/>
    <w:rsid w:val="006A46FC"/>
    <w:rsid w:val="006A5AC8"/>
    <w:rsid w:val="006B178E"/>
    <w:rsid w:val="006B2CBB"/>
    <w:rsid w:val="006B4A30"/>
    <w:rsid w:val="006B5AB6"/>
    <w:rsid w:val="006B6EE1"/>
    <w:rsid w:val="006B7569"/>
    <w:rsid w:val="006C16E3"/>
    <w:rsid w:val="006C28EE"/>
    <w:rsid w:val="006C2B97"/>
    <w:rsid w:val="006C4FF1"/>
    <w:rsid w:val="006C6203"/>
    <w:rsid w:val="006D21DA"/>
    <w:rsid w:val="006D2998"/>
    <w:rsid w:val="006D3188"/>
    <w:rsid w:val="006D3A31"/>
    <w:rsid w:val="006D5159"/>
    <w:rsid w:val="006D6779"/>
    <w:rsid w:val="006D6FC8"/>
    <w:rsid w:val="006D7232"/>
    <w:rsid w:val="006D729C"/>
    <w:rsid w:val="006D7AAA"/>
    <w:rsid w:val="006E08FC"/>
    <w:rsid w:val="006E1B5C"/>
    <w:rsid w:val="006E370F"/>
    <w:rsid w:val="006E38F9"/>
    <w:rsid w:val="006E4FD1"/>
    <w:rsid w:val="006E5D89"/>
    <w:rsid w:val="006E63BE"/>
    <w:rsid w:val="006E6A60"/>
    <w:rsid w:val="006E6CE3"/>
    <w:rsid w:val="006E78BC"/>
    <w:rsid w:val="006E78EE"/>
    <w:rsid w:val="006E7901"/>
    <w:rsid w:val="006F2588"/>
    <w:rsid w:val="006F2AA2"/>
    <w:rsid w:val="006F2FEA"/>
    <w:rsid w:val="006F302F"/>
    <w:rsid w:val="006F30B8"/>
    <w:rsid w:val="006F4603"/>
    <w:rsid w:val="006F4B97"/>
    <w:rsid w:val="006F4E1C"/>
    <w:rsid w:val="006F56BE"/>
    <w:rsid w:val="006F5D86"/>
    <w:rsid w:val="006F5F3D"/>
    <w:rsid w:val="006F6843"/>
    <w:rsid w:val="006F722A"/>
    <w:rsid w:val="00700523"/>
    <w:rsid w:val="00701CD6"/>
    <w:rsid w:val="00703146"/>
    <w:rsid w:val="00703399"/>
    <w:rsid w:val="0070447A"/>
    <w:rsid w:val="00705C39"/>
    <w:rsid w:val="00707155"/>
    <w:rsid w:val="00707B39"/>
    <w:rsid w:val="00707CD2"/>
    <w:rsid w:val="00710460"/>
    <w:rsid w:val="00710A6C"/>
    <w:rsid w:val="00710D98"/>
    <w:rsid w:val="00711306"/>
    <w:rsid w:val="00711CE9"/>
    <w:rsid w:val="00712266"/>
    <w:rsid w:val="00712593"/>
    <w:rsid w:val="00712A26"/>
    <w:rsid w:val="00712D82"/>
    <w:rsid w:val="00713301"/>
    <w:rsid w:val="007134F5"/>
    <w:rsid w:val="00713E9E"/>
    <w:rsid w:val="00716B96"/>
    <w:rsid w:val="00716C23"/>
    <w:rsid w:val="00716E22"/>
    <w:rsid w:val="007171AB"/>
    <w:rsid w:val="00717993"/>
    <w:rsid w:val="00717AC5"/>
    <w:rsid w:val="00720054"/>
    <w:rsid w:val="00720E48"/>
    <w:rsid w:val="007213D0"/>
    <w:rsid w:val="007219C0"/>
    <w:rsid w:val="007238D7"/>
    <w:rsid w:val="00724091"/>
    <w:rsid w:val="00726417"/>
    <w:rsid w:val="007270AC"/>
    <w:rsid w:val="00730EA2"/>
    <w:rsid w:val="00731C75"/>
    <w:rsid w:val="0073207D"/>
    <w:rsid w:val="00732599"/>
    <w:rsid w:val="00732A78"/>
    <w:rsid w:val="007334A3"/>
    <w:rsid w:val="007339B2"/>
    <w:rsid w:val="0073484D"/>
    <w:rsid w:val="007362C8"/>
    <w:rsid w:val="007370C4"/>
    <w:rsid w:val="007415E4"/>
    <w:rsid w:val="00741731"/>
    <w:rsid w:val="00743E09"/>
    <w:rsid w:val="00744FCC"/>
    <w:rsid w:val="00745C23"/>
    <w:rsid w:val="007461A9"/>
    <w:rsid w:val="00746388"/>
    <w:rsid w:val="00746596"/>
    <w:rsid w:val="00746788"/>
    <w:rsid w:val="00747B9C"/>
    <w:rsid w:val="00747C31"/>
    <w:rsid w:val="00750A25"/>
    <w:rsid w:val="00750C93"/>
    <w:rsid w:val="00751630"/>
    <w:rsid w:val="007519CC"/>
    <w:rsid w:val="007522BF"/>
    <w:rsid w:val="00752F23"/>
    <w:rsid w:val="0075372E"/>
    <w:rsid w:val="00754E24"/>
    <w:rsid w:val="007558E3"/>
    <w:rsid w:val="00757B3B"/>
    <w:rsid w:val="00757CC8"/>
    <w:rsid w:val="007610AD"/>
    <w:rsid w:val="007618C5"/>
    <w:rsid w:val="007619A2"/>
    <w:rsid w:val="00764FA6"/>
    <w:rsid w:val="00765294"/>
    <w:rsid w:val="00767375"/>
    <w:rsid w:val="00771664"/>
    <w:rsid w:val="00772340"/>
    <w:rsid w:val="00772DF4"/>
    <w:rsid w:val="00773075"/>
    <w:rsid w:val="00773F36"/>
    <w:rsid w:val="007755A4"/>
    <w:rsid w:val="00775BF6"/>
    <w:rsid w:val="00776254"/>
    <w:rsid w:val="007769FC"/>
    <w:rsid w:val="00777C9B"/>
    <w:rsid w:val="00777CFF"/>
    <w:rsid w:val="00780029"/>
    <w:rsid w:val="00780550"/>
    <w:rsid w:val="007811E5"/>
    <w:rsid w:val="007815BC"/>
    <w:rsid w:val="00782B3F"/>
    <w:rsid w:val="00782E3C"/>
    <w:rsid w:val="0078478C"/>
    <w:rsid w:val="007854AE"/>
    <w:rsid w:val="007900CC"/>
    <w:rsid w:val="00790448"/>
    <w:rsid w:val="00790ADC"/>
    <w:rsid w:val="00790DBF"/>
    <w:rsid w:val="0079243D"/>
    <w:rsid w:val="00792B82"/>
    <w:rsid w:val="00792E33"/>
    <w:rsid w:val="00793467"/>
    <w:rsid w:val="007946B1"/>
    <w:rsid w:val="00794E8F"/>
    <w:rsid w:val="00795AD4"/>
    <w:rsid w:val="007962CB"/>
    <w:rsid w:val="0079641B"/>
    <w:rsid w:val="00797A90"/>
    <w:rsid w:val="007A04FB"/>
    <w:rsid w:val="007A135C"/>
    <w:rsid w:val="007A1856"/>
    <w:rsid w:val="007A1887"/>
    <w:rsid w:val="007A1CDE"/>
    <w:rsid w:val="007A5810"/>
    <w:rsid w:val="007A629C"/>
    <w:rsid w:val="007A6348"/>
    <w:rsid w:val="007A6A13"/>
    <w:rsid w:val="007A6BA6"/>
    <w:rsid w:val="007B023C"/>
    <w:rsid w:val="007B03CC"/>
    <w:rsid w:val="007B084D"/>
    <w:rsid w:val="007B138B"/>
    <w:rsid w:val="007B2F08"/>
    <w:rsid w:val="007B354C"/>
    <w:rsid w:val="007B45B2"/>
    <w:rsid w:val="007B4B1F"/>
    <w:rsid w:val="007C005A"/>
    <w:rsid w:val="007C2B84"/>
    <w:rsid w:val="007C44FF"/>
    <w:rsid w:val="007C59DE"/>
    <w:rsid w:val="007C5BAF"/>
    <w:rsid w:val="007C6456"/>
    <w:rsid w:val="007C64C5"/>
    <w:rsid w:val="007C6E9D"/>
    <w:rsid w:val="007C7BDB"/>
    <w:rsid w:val="007D01BE"/>
    <w:rsid w:val="007D0A2C"/>
    <w:rsid w:val="007D0AFD"/>
    <w:rsid w:val="007D1915"/>
    <w:rsid w:val="007D1D5B"/>
    <w:rsid w:val="007D1E0A"/>
    <w:rsid w:val="007D2963"/>
    <w:rsid w:val="007D2A85"/>
    <w:rsid w:val="007D2FF5"/>
    <w:rsid w:val="007D4920"/>
    <w:rsid w:val="007D4BCF"/>
    <w:rsid w:val="007D5962"/>
    <w:rsid w:val="007D5CB8"/>
    <w:rsid w:val="007D5E19"/>
    <w:rsid w:val="007D5E93"/>
    <w:rsid w:val="007D6225"/>
    <w:rsid w:val="007D6935"/>
    <w:rsid w:val="007D73AB"/>
    <w:rsid w:val="007D790E"/>
    <w:rsid w:val="007E0D45"/>
    <w:rsid w:val="007E1877"/>
    <w:rsid w:val="007E2712"/>
    <w:rsid w:val="007E4A9C"/>
    <w:rsid w:val="007E5516"/>
    <w:rsid w:val="007E59EC"/>
    <w:rsid w:val="007E5C3D"/>
    <w:rsid w:val="007E66B3"/>
    <w:rsid w:val="007E6D9A"/>
    <w:rsid w:val="007E7A8A"/>
    <w:rsid w:val="007E7B31"/>
    <w:rsid w:val="007E7D77"/>
    <w:rsid w:val="007E7EE2"/>
    <w:rsid w:val="007F0594"/>
    <w:rsid w:val="007F06CA"/>
    <w:rsid w:val="007F0DD0"/>
    <w:rsid w:val="007F0F52"/>
    <w:rsid w:val="007F3082"/>
    <w:rsid w:val="007F32F5"/>
    <w:rsid w:val="007F3C21"/>
    <w:rsid w:val="007F3DDC"/>
    <w:rsid w:val="007F452E"/>
    <w:rsid w:val="007F4668"/>
    <w:rsid w:val="007F51CA"/>
    <w:rsid w:val="007F5B98"/>
    <w:rsid w:val="007F61D0"/>
    <w:rsid w:val="007F7A8D"/>
    <w:rsid w:val="00800DD8"/>
    <w:rsid w:val="008013E0"/>
    <w:rsid w:val="008016B1"/>
    <w:rsid w:val="0080228F"/>
    <w:rsid w:val="0080239D"/>
    <w:rsid w:val="008036C1"/>
    <w:rsid w:val="00804C1B"/>
    <w:rsid w:val="00804F00"/>
    <w:rsid w:val="0080595A"/>
    <w:rsid w:val="0080608A"/>
    <w:rsid w:val="008126D4"/>
    <w:rsid w:val="008150A6"/>
    <w:rsid w:val="0081527B"/>
    <w:rsid w:val="00815524"/>
    <w:rsid w:val="00815A8F"/>
    <w:rsid w:val="008162F6"/>
    <w:rsid w:val="00816827"/>
    <w:rsid w:val="00816862"/>
    <w:rsid w:val="00817098"/>
    <w:rsid w:val="008178E6"/>
    <w:rsid w:val="008213D2"/>
    <w:rsid w:val="00821AF6"/>
    <w:rsid w:val="0082249C"/>
    <w:rsid w:val="00822A4A"/>
    <w:rsid w:val="00822F9F"/>
    <w:rsid w:val="00823022"/>
    <w:rsid w:val="00824CCE"/>
    <w:rsid w:val="00825696"/>
    <w:rsid w:val="00830B7B"/>
    <w:rsid w:val="00831CFE"/>
    <w:rsid w:val="00831E70"/>
    <w:rsid w:val="00832661"/>
    <w:rsid w:val="0083441E"/>
    <w:rsid w:val="008349AA"/>
    <w:rsid w:val="00834E6C"/>
    <w:rsid w:val="00834E87"/>
    <w:rsid w:val="008375D5"/>
    <w:rsid w:val="0083761B"/>
    <w:rsid w:val="00841486"/>
    <w:rsid w:val="00842BC9"/>
    <w:rsid w:val="008431AF"/>
    <w:rsid w:val="0084476E"/>
    <w:rsid w:val="00845137"/>
    <w:rsid w:val="0084514C"/>
    <w:rsid w:val="008454A0"/>
    <w:rsid w:val="00845A8B"/>
    <w:rsid w:val="00845AE4"/>
    <w:rsid w:val="00845B9F"/>
    <w:rsid w:val="008462A3"/>
    <w:rsid w:val="00847610"/>
    <w:rsid w:val="00847D2C"/>
    <w:rsid w:val="008503FA"/>
    <w:rsid w:val="008504F6"/>
    <w:rsid w:val="0085240E"/>
    <w:rsid w:val="00852416"/>
    <w:rsid w:val="00852484"/>
    <w:rsid w:val="008543B3"/>
    <w:rsid w:val="00855AAD"/>
    <w:rsid w:val="00855DFD"/>
    <w:rsid w:val="0085600F"/>
    <w:rsid w:val="00856C7C"/>
    <w:rsid w:val="008573B9"/>
    <w:rsid w:val="0085782D"/>
    <w:rsid w:val="008601E6"/>
    <w:rsid w:val="008607A8"/>
    <w:rsid w:val="00860C70"/>
    <w:rsid w:val="00861290"/>
    <w:rsid w:val="00861C70"/>
    <w:rsid w:val="00863BB7"/>
    <w:rsid w:val="00863C9A"/>
    <w:rsid w:val="00863F52"/>
    <w:rsid w:val="008658E1"/>
    <w:rsid w:val="0086759C"/>
    <w:rsid w:val="00867E8F"/>
    <w:rsid w:val="00870030"/>
    <w:rsid w:val="00870ABD"/>
    <w:rsid w:val="00870D0A"/>
    <w:rsid w:val="00871B1F"/>
    <w:rsid w:val="008730FD"/>
    <w:rsid w:val="00873D8B"/>
    <w:rsid w:val="00873DA1"/>
    <w:rsid w:val="00874958"/>
    <w:rsid w:val="00874C49"/>
    <w:rsid w:val="008752CA"/>
    <w:rsid w:val="00875523"/>
    <w:rsid w:val="00875DDD"/>
    <w:rsid w:val="0088121F"/>
    <w:rsid w:val="00881BC6"/>
    <w:rsid w:val="008821FF"/>
    <w:rsid w:val="00882B0F"/>
    <w:rsid w:val="008848F6"/>
    <w:rsid w:val="008860CC"/>
    <w:rsid w:val="0088636D"/>
    <w:rsid w:val="00886B25"/>
    <w:rsid w:val="00886EEE"/>
    <w:rsid w:val="00887036"/>
    <w:rsid w:val="00887F86"/>
    <w:rsid w:val="00890045"/>
    <w:rsid w:val="00890876"/>
    <w:rsid w:val="00890C53"/>
    <w:rsid w:val="00891929"/>
    <w:rsid w:val="008924AA"/>
    <w:rsid w:val="00893029"/>
    <w:rsid w:val="008946F7"/>
    <w:rsid w:val="00894DA6"/>
    <w:rsid w:val="0089514A"/>
    <w:rsid w:val="0089514B"/>
    <w:rsid w:val="00895C2A"/>
    <w:rsid w:val="00895DE8"/>
    <w:rsid w:val="008A03E9"/>
    <w:rsid w:val="008A0A0D"/>
    <w:rsid w:val="008A16EB"/>
    <w:rsid w:val="008A32D9"/>
    <w:rsid w:val="008A3961"/>
    <w:rsid w:val="008A3E71"/>
    <w:rsid w:val="008A4972"/>
    <w:rsid w:val="008A4CEA"/>
    <w:rsid w:val="008A7506"/>
    <w:rsid w:val="008A7B9F"/>
    <w:rsid w:val="008A7D14"/>
    <w:rsid w:val="008A7F37"/>
    <w:rsid w:val="008B1603"/>
    <w:rsid w:val="008B1939"/>
    <w:rsid w:val="008B20ED"/>
    <w:rsid w:val="008B3B49"/>
    <w:rsid w:val="008B5332"/>
    <w:rsid w:val="008B5D28"/>
    <w:rsid w:val="008B6135"/>
    <w:rsid w:val="008B7BEB"/>
    <w:rsid w:val="008C02B8"/>
    <w:rsid w:val="008C0C53"/>
    <w:rsid w:val="008C26B6"/>
    <w:rsid w:val="008C2FDE"/>
    <w:rsid w:val="008C31FD"/>
    <w:rsid w:val="008C3827"/>
    <w:rsid w:val="008C4538"/>
    <w:rsid w:val="008C4BFE"/>
    <w:rsid w:val="008C5008"/>
    <w:rsid w:val="008C562B"/>
    <w:rsid w:val="008C6717"/>
    <w:rsid w:val="008C6D32"/>
    <w:rsid w:val="008C7420"/>
    <w:rsid w:val="008D0305"/>
    <w:rsid w:val="008D085E"/>
    <w:rsid w:val="008D0A21"/>
    <w:rsid w:val="008D1663"/>
    <w:rsid w:val="008D23E2"/>
    <w:rsid w:val="008D2D6B"/>
    <w:rsid w:val="008D3090"/>
    <w:rsid w:val="008D31C2"/>
    <w:rsid w:val="008D4306"/>
    <w:rsid w:val="008D4508"/>
    <w:rsid w:val="008D4DC4"/>
    <w:rsid w:val="008D585C"/>
    <w:rsid w:val="008D595C"/>
    <w:rsid w:val="008D6D42"/>
    <w:rsid w:val="008D77CE"/>
    <w:rsid w:val="008D7CAF"/>
    <w:rsid w:val="008E02EC"/>
    <w:rsid w:val="008E02EE"/>
    <w:rsid w:val="008E2521"/>
    <w:rsid w:val="008E3DF4"/>
    <w:rsid w:val="008E402F"/>
    <w:rsid w:val="008E55B9"/>
    <w:rsid w:val="008E64F7"/>
    <w:rsid w:val="008E65A8"/>
    <w:rsid w:val="008E77D6"/>
    <w:rsid w:val="008F15A8"/>
    <w:rsid w:val="008F172B"/>
    <w:rsid w:val="008F27E6"/>
    <w:rsid w:val="008F4669"/>
    <w:rsid w:val="008F4729"/>
    <w:rsid w:val="008F5D21"/>
    <w:rsid w:val="008F64A1"/>
    <w:rsid w:val="008F6909"/>
    <w:rsid w:val="00902AC8"/>
    <w:rsid w:val="009036E7"/>
    <w:rsid w:val="00903850"/>
    <w:rsid w:val="00904D11"/>
    <w:rsid w:val="0090605F"/>
    <w:rsid w:val="00906F31"/>
    <w:rsid w:val="009074E3"/>
    <w:rsid w:val="00907AEB"/>
    <w:rsid w:val="00907CC5"/>
    <w:rsid w:val="00907E55"/>
    <w:rsid w:val="0091053B"/>
    <w:rsid w:val="009106BF"/>
    <w:rsid w:val="00911566"/>
    <w:rsid w:val="00912158"/>
    <w:rsid w:val="00912945"/>
    <w:rsid w:val="00912BDF"/>
    <w:rsid w:val="00912CBD"/>
    <w:rsid w:val="00912DB0"/>
    <w:rsid w:val="009144EE"/>
    <w:rsid w:val="00914B07"/>
    <w:rsid w:val="0091580A"/>
    <w:rsid w:val="00915D4C"/>
    <w:rsid w:val="00916485"/>
    <w:rsid w:val="0092081C"/>
    <w:rsid w:val="00921470"/>
    <w:rsid w:val="00921682"/>
    <w:rsid w:val="009221EF"/>
    <w:rsid w:val="00922DCF"/>
    <w:rsid w:val="00924A78"/>
    <w:rsid w:val="009269DD"/>
    <w:rsid w:val="009279B2"/>
    <w:rsid w:val="00931DB2"/>
    <w:rsid w:val="009320BA"/>
    <w:rsid w:val="00934951"/>
    <w:rsid w:val="00935692"/>
    <w:rsid w:val="009357DC"/>
    <w:rsid w:val="00935814"/>
    <w:rsid w:val="009359DD"/>
    <w:rsid w:val="00935EDA"/>
    <w:rsid w:val="009403A8"/>
    <w:rsid w:val="0094055B"/>
    <w:rsid w:val="0094100F"/>
    <w:rsid w:val="009413A6"/>
    <w:rsid w:val="00941476"/>
    <w:rsid w:val="00944036"/>
    <w:rsid w:val="0094470A"/>
    <w:rsid w:val="00944A0E"/>
    <w:rsid w:val="0094502D"/>
    <w:rsid w:val="00945EA7"/>
    <w:rsid w:val="00946561"/>
    <w:rsid w:val="00946B39"/>
    <w:rsid w:val="00946E43"/>
    <w:rsid w:val="00947013"/>
    <w:rsid w:val="0095062C"/>
    <w:rsid w:val="009509F1"/>
    <w:rsid w:val="00950E14"/>
    <w:rsid w:val="00952360"/>
    <w:rsid w:val="00952C7A"/>
    <w:rsid w:val="00952D7B"/>
    <w:rsid w:val="009541A4"/>
    <w:rsid w:val="00954371"/>
    <w:rsid w:val="00954B42"/>
    <w:rsid w:val="009554F4"/>
    <w:rsid w:val="00955650"/>
    <w:rsid w:val="009566C5"/>
    <w:rsid w:val="00956EA9"/>
    <w:rsid w:val="00957206"/>
    <w:rsid w:val="00957AB7"/>
    <w:rsid w:val="00960B8D"/>
    <w:rsid w:val="00960E38"/>
    <w:rsid w:val="009612B7"/>
    <w:rsid w:val="009626BA"/>
    <w:rsid w:val="0096525B"/>
    <w:rsid w:val="00966867"/>
    <w:rsid w:val="00966C40"/>
    <w:rsid w:val="00966E40"/>
    <w:rsid w:val="00970DA2"/>
    <w:rsid w:val="00971747"/>
    <w:rsid w:val="00971BC4"/>
    <w:rsid w:val="00971FA0"/>
    <w:rsid w:val="00972F3E"/>
    <w:rsid w:val="00973084"/>
    <w:rsid w:val="00973422"/>
    <w:rsid w:val="009739F1"/>
    <w:rsid w:val="00973CBD"/>
    <w:rsid w:val="00973F6F"/>
    <w:rsid w:val="00974520"/>
    <w:rsid w:val="00974B59"/>
    <w:rsid w:val="00974F31"/>
    <w:rsid w:val="00975341"/>
    <w:rsid w:val="0097653D"/>
    <w:rsid w:val="00976D4E"/>
    <w:rsid w:val="00977C02"/>
    <w:rsid w:val="00982A53"/>
    <w:rsid w:val="0098303E"/>
    <w:rsid w:val="00983CF7"/>
    <w:rsid w:val="00983E0D"/>
    <w:rsid w:val="00984EA2"/>
    <w:rsid w:val="00986469"/>
    <w:rsid w:val="00986CC3"/>
    <w:rsid w:val="00990139"/>
    <w:rsid w:val="0099068E"/>
    <w:rsid w:val="009909C0"/>
    <w:rsid w:val="00990D6F"/>
    <w:rsid w:val="009916D4"/>
    <w:rsid w:val="00991E8C"/>
    <w:rsid w:val="009920AA"/>
    <w:rsid w:val="00992943"/>
    <w:rsid w:val="00992A43"/>
    <w:rsid w:val="009931B3"/>
    <w:rsid w:val="00993E53"/>
    <w:rsid w:val="00996279"/>
    <w:rsid w:val="009965F7"/>
    <w:rsid w:val="009A03D5"/>
    <w:rsid w:val="009A0866"/>
    <w:rsid w:val="009A0BD0"/>
    <w:rsid w:val="009A26AB"/>
    <w:rsid w:val="009A453B"/>
    <w:rsid w:val="009A4812"/>
    <w:rsid w:val="009A4D0A"/>
    <w:rsid w:val="009A4EB0"/>
    <w:rsid w:val="009A4FE0"/>
    <w:rsid w:val="009A6545"/>
    <w:rsid w:val="009A759C"/>
    <w:rsid w:val="009B063F"/>
    <w:rsid w:val="009B0B73"/>
    <w:rsid w:val="009B2DC0"/>
    <w:rsid w:val="009B2F70"/>
    <w:rsid w:val="009B3922"/>
    <w:rsid w:val="009B40EB"/>
    <w:rsid w:val="009B4594"/>
    <w:rsid w:val="009B4DEC"/>
    <w:rsid w:val="009B5255"/>
    <w:rsid w:val="009B5315"/>
    <w:rsid w:val="009B5683"/>
    <w:rsid w:val="009B5E2C"/>
    <w:rsid w:val="009B65C2"/>
    <w:rsid w:val="009C06B7"/>
    <w:rsid w:val="009C2459"/>
    <w:rsid w:val="009C255A"/>
    <w:rsid w:val="009C2B46"/>
    <w:rsid w:val="009C3FE7"/>
    <w:rsid w:val="009C4448"/>
    <w:rsid w:val="009C4BD1"/>
    <w:rsid w:val="009C610D"/>
    <w:rsid w:val="009C6394"/>
    <w:rsid w:val="009C6CD8"/>
    <w:rsid w:val="009D10E5"/>
    <w:rsid w:val="009D2DC4"/>
    <w:rsid w:val="009D361A"/>
    <w:rsid w:val="009D3DC8"/>
    <w:rsid w:val="009D43F3"/>
    <w:rsid w:val="009D4E9F"/>
    <w:rsid w:val="009D54E1"/>
    <w:rsid w:val="009D5952"/>
    <w:rsid w:val="009D5D40"/>
    <w:rsid w:val="009D6B1B"/>
    <w:rsid w:val="009E0400"/>
    <w:rsid w:val="009E0BF6"/>
    <w:rsid w:val="009E107B"/>
    <w:rsid w:val="009E18D6"/>
    <w:rsid w:val="009E2959"/>
    <w:rsid w:val="009E2FD3"/>
    <w:rsid w:val="009E394A"/>
    <w:rsid w:val="009E4267"/>
    <w:rsid w:val="009E48BD"/>
    <w:rsid w:val="009E4DCA"/>
    <w:rsid w:val="009E51C3"/>
    <w:rsid w:val="009E53C8"/>
    <w:rsid w:val="009E5900"/>
    <w:rsid w:val="009E669E"/>
    <w:rsid w:val="009E67CC"/>
    <w:rsid w:val="009E6C41"/>
    <w:rsid w:val="009E701A"/>
    <w:rsid w:val="009E7B92"/>
    <w:rsid w:val="009F19C0"/>
    <w:rsid w:val="009F1A5B"/>
    <w:rsid w:val="009F2B49"/>
    <w:rsid w:val="009F3C70"/>
    <w:rsid w:val="009F3F73"/>
    <w:rsid w:val="009F505F"/>
    <w:rsid w:val="009F683C"/>
    <w:rsid w:val="009F7685"/>
    <w:rsid w:val="00A00AE4"/>
    <w:rsid w:val="00A00D24"/>
    <w:rsid w:val="00A0129C"/>
    <w:rsid w:val="00A01429"/>
    <w:rsid w:val="00A01B8A"/>
    <w:rsid w:val="00A01F5C"/>
    <w:rsid w:val="00A0324C"/>
    <w:rsid w:val="00A03278"/>
    <w:rsid w:val="00A03851"/>
    <w:rsid w:val="00A0668F"/>
    <w:rsid w:val="00A073FE"/>
    <w:rsid w:val="00A07590"/>
    <w:rsid w:val="00A126E3"/>
    <w:rsid w:val="00A12A69"/>
    <w:rsid w:val="00A12E45"/>
    <w:rsid w:val="00A148CB"/>
    <w:rsid w:val="00A14C1B"/>
    <w:rsid w:val="00A15038"/>
    <w:rsid w:val="00A152CE"/>
    <w:rsid w:val="00A159BA"/>
    <w:rsid w:val="00A1719D"/>
    <w:rsid w:val="00A2019A"/>
    <w:rsid w:val="00A20C23"/>
    <w:rsid w:val="00A21412"/>
    <w:rsid w:val="00A221C8"/>
    <w:rsid w:val="00A22C6B"/>
    <w:rsid w:val="00A23493"/>
    <w:rsid w:val="00A2416A"/>
    <w:rsid w:val="00A24913"/>
    <w:rsid w:val="00A24FB9"/>
    <w:rsid w:val="00A264FC"/>
    <w:rsid w:val="00A269B4"/>
    <w:rsid w:val="00A30E06"/>
    <w:rsid w:val="00A31099"/>
    <w:rsid w:val="00A3270B"/>
    <w:rsid w:val="00A32B0C"/>
    <w:rsid w:val="00A333A9"/>
    <w:rsid w:val="00A33720"/>
    <w:rsid w:val="00A3733D"/>
    <w:rsid w:val="00A379E4"/>
    <w:rsid w:val="00A37A13"/>
    <w:rsid w:val="00A40BF7"/>
    <w:rsid w:val="00A40E8B"/>
    <w:rsid w:val="00A41C3E"/>
    <w:rsid w:val="00A42589"/>
    <w:rsid w:val="00A425D8"/>
    <w:rsid w:val="00A42F07"/>
    <w:rsid w:val="00A43B02"/>
    <w:rsid w:val="00A440FF"/>
    <w:rsid w:val="00A44946"/>
    <w:rsid w:val="00A46008"/>
    <w:rsid w:val="00A46B85"/>
    <w:rsid w:val="00A46E68"/>
    <w:rsid w:val="00A47659"/>
    <w:rsid w:val="00A476E7"/>
    <w:rsid w:val="00A47EE9"/>
    <w:rsid w:val="00A47FC1"/>
    <w:rsid w:val="00A50585"/>
    <w:rsid w:val="00A506F1"/>
    <w:rsid w:val="00A51471"/>
    <w:rsid w:val="00A5156E"/>
    <w:rsid w:val="00A53E57"/>
    <w:rsid w:val="00A54050"/>
    <w:rsid w:val="00A548EA"/>
    <w:rsid w:val="00A54FDF"/>
    <w:rsid w:val="00A55356"/>
    <w:rsid w:val="00A553A8"/>
    <w:rsid w:val="00A56667"/>
    <w:rsid w:val="00A56824"/>
    <w:rsid w:val="00A572DA"/>
    <w:rsid w:val="00A60741"/>
    <w:rsid w:val="00A60824"/>
    <w:rsid w:val="00A60A92"/>
    <w:rsid w:val="00A60D45"/>
    <w:rsid w:val="00A61250"/>
    <w:rsid w:val="00A61BF7"/>
    <w:rsid w:val="00A61F6D"/>
    <w:rsid w:val="00A62598"/>
    <w:rsid w:val="00A6382B"/>
    <w:rsid w:val="00A643A9"/>
    <w:rsid w:val="00A65996"/>
    <w:rsid w:val="00A660B2"/>
    <w:rsid w:val="00A66779"/>
    <w:rsid w:val="00A670BC"/>
    <w:rsid w:val="00A67276"/>
    <w:rsid w:val="00A67588"/>
    <w:rsid w:val="00A67840"/>
    <w:rsid w:val="00A7164F"/>
    <w:rsid w:val="00A71A9E"/>
    <w:rsid w:val="00A7267F"/>
    <w:rsid w:val="00A7312B"/>
    <w:rsid w:val="00A73224"/>
    <w:rsid w:val="00A7382D"/>
    <w:rsid w:val="00A743AC"/>
    <w:rsid w:val="00A745F2"/>
    <w:rsid w:val="00A75AB7"/>
    <w:rsid w:val="00A76827"/>
    <w:rsid w:val="00A8172B"/>
    <w:rsid w:val="00A81B28"/>
    <w:rsid w:val="00A833B9"/>
    <w:rsid w:val="00A8483F"/>
    <w:rsid w:val="00A84A42"/>
    <w:rsid w:val="00A870B0"/>
    <w:rsid w:val="00A8728A"/>
    <w:rsid w:val="00A87A54"/>
    <w:rsid w:val="00A92AC3"/>
    <w:rsid w:val="00AA105C"/>
    <w:rsid w:val="00AA1809"/>
    <w:rsid w:val="00AA1FFE"/>
    <w:rsid w:val="00AA2414"/>
    <w:rsid w:val="00AA31D3"/>
    <w:rsid w:val="00AA3424"/>
    <w:rsid w:val="00AA3F2E"/>
    <w:rsid w:val="00AA608C"/>
    <w:rsid w:val="00AA62EF"/>
    <w:rsid w:val="00AA6957"/>
    <w:rsid w:val="00AA7044"/>
    <w:rsid w:val="00AA72F4"/>
    <w:rsid w:val="00AA7773"/>
    <w:rsid w:val="00AB10E7"/>
    <w:rsid w:val="00AB1431"/>
    <w:rsid w:val="00AB266B"/>
    <w:rsid w:val="00AB27EF"/>
    <w:rsid w:val="00AB4616"/>
    <w:rsid w:val="00AB4702"/>
    <w:rsid w:val="00AB4D25"/>
    <w:rsid w:val="00AB5033"/>
    <w:rsid w:val="00AB5298"/>
    <w:rsid w:val="00AB5519"/>
    <w:rsid w:val="00AB5E25"/>
    <w:rsid w:val="00AB6313"/>
    <w:rsid w:val="00AB6996"/>
    <w:rsid w:val="00AB6E64"/>
    <w:rsid w:val="00AB71DD"/>
    <w:rsid w:val="00AB7C63"/>
    <w:rsid w:val="00AC157A"/>
    <w:rsid w:val="00AC15C5"/>
    <w:rsid w:val="00AC1C9A"/>
    <w:rsid w:val="00AC61A1"/>
    <w:rsid w:val="00AC660E"/>
    <w:rsid w:val="00AC718A"/>
    <w:rsid w:val="00AC7215"/>
    <w:rsid w:val="00AD06E3"/>
    <w:rsid w:val="00AD0E75"/>
    <w:rsid w:val="00AD1CBD"/>
    <w:rsid w:val="00AD2251"/>
    <w:rsid w:val="00AD3123"/>
    <w:rsid w:val="00AD3526"/>
    <w:rsid w:val="00AD49E3"/>
    <w:rsid w:val="00AD6072"/>
    <w:rsid w:val="00AD62B0"/>
    <w:rsid w:val="00AE1029"/>
    <w:rsid w:val="00AE2E75"/>
    <w:rsid w:val="00AE341B"/>
    <w:rsid w:val="00AE3849"/>
    <w:rsid w:val="00AE459D"/>
    <w:rsid w:val="00AE49D6"/>
    <w:rsid w:val="00AE49E2"/>
    <w:rsid w:val="00AE5B76"/>
    <w:rsid w:val="00AE77EB"/>
    <w:rsid w:val="00AE7A41"/>
    <w:rsid w:val="00AE7BD8"/>
    <w:rsid w:val="00AE7D02"/>
    <w:rsid w:val="00AF0BB7"/>
    <w:rsid w:val="00AF0BDE"/>
    <w:rsid w:val="00AF0EDE"/>
    <w:rsid w:val="00AF1B15"/>
    <w:rsid w:val="00AF220C"/>
    <w:rsid w:val="00AF24A2"/>
    <w:rsid w:val="00AF36DC"/>
    <w:rsid w:val="00AF4043"/>
    <w:rsid w:val="00AF4853"/>
    <w:rsid w:val="00AF4876"/>
    <w:rsid w:val="00AF4B93"/>
    <w:rsid w:val="00AF53B9"/>
    <w:rsid w:val="00AF75FB"/>
    <w:rsid w:val="00AF7868"/>
    <w:rsid w:val="00B00101"/>
    <w:rsid w:val="00B00702"/>
    <w:rsid w:val="00B009E2"/>
    <w:rsid w:val="00B00F2C"/>
    <w:rsid w:val="00B0110B"/>
    <w:rsid w:val="00B0234E"/>
    <w:rsid w:val="00B028F8"/>
    <w:rsid w:val="00B03791"/>
    <w:rsid w:val="00B05DAD"/>
    <w:rsid w:val="00B06649"/>
    <w:rsid w:val="00B06751"/>
    <w:rsid w:val="00B06B65"/>
    <w:rsid w:val="00B07931"/>
    <w:rsid w:val="00B07EFA"/>
    <w:rsid w:val="00B112EF"/>
    <w:rsid w:val="00B126C6"/>
    <w:rsid w:val="00B12764"/>
    <w:rsid w:val="00B13241"/>
    <w:rsid w:val="00B13699"/>
    <w:rsid w:val="00B14636"/>
    <w:rsid w:val="00B149E2"/>
    <w:rsid w:val="00B156C9"/>
    <w:rsid w:val="00B15916"/>
    <w:rsid w:val="00B165BE"/>
    <w:rsid w:val="00B1715A"/>
    <w:rsid w:val="00B2131A"/>
    <w:rsid w:val="00B2169D"/>
    <w:rsid w:val="00B21CBB"/>
    <w:rsid w:val="00B22529"/>
    <w:rsid w:val="00B2325F"/>
    <w:rsid w:val="00B2490E"/>
    <w:rsid w:val="00B24AA5"/>
    <w:rsid w:val="00B25BC3"/>
    <w:rsid w:val="00B2606D"/>
    <w:rsid w:val="00B263C0"/>
    <w:rsid w:val="00B26E46"/>
    <w:rsid w:val="00B301C7"/>
    <w:rsid w:val="00B316CA"/>
    <w:rsid w:val="00B31AE2"/>
    <w:rsid w:val="00B31BFB"/>
    <w:rsid w:val="00B3528F"/>
    <w:rsid w:val="00B357AB"/>
    <w:rsid w:val="00B41704"/>
    <w:rsid w:val="00B41F72"/>
    <w:rsid w:val="00B42814"/>
    <w:rsid w:val="00B430FC"/>
    <w:rsid w:val="00B439EF"/>
    <w:rsid w:val="00B43D6D"/>
    <w:rsid w:val="00B44C1E"/>
    <w:rsid w:val="00B44E90"/>
    <w:rsid w:val="00B45324"/>
    <w:rsid w:val="00B45E31"/>
    <w:rsid w:val="00B46764"/>
    <w:rsid w:val="00B46E6B"/>
    <w:rsid w:val="00B47018"/>
    <w:rsid w:val="00B47956"/>
    <w:rsid w:val="00B50495"/>
    <w:rsid w:val="00B517E1"/>
    <w:rsid w:val="00B51A1E"/>
    <w:rsid w:val="00B53278"/>
    <w:rsid w:val="00B53ED6"/>
    <w:rsid w:val="00B54250"/>
    <w:rsid w:val="00B5454E"/>
    <w:rsid w:val="00B54AE4"/>
    <w:rsid w:val="00B54FE9"/>
    <w:rsid w:val="00B556E8"/>
    <w:rsid w:val="00B55E70"/>
    <w:rsid w:val="00B6006E"/>
    <w:rsid w:val="00B60238"/>
    <w:rsid w:val="00B625A3"/>
    <w:rsid w:val="00B62B5F"/>
    <w:rsid w:val="00B63234"/>
    <w:rsid w:val="00B63340"/>
    <w:rsid w:val="00B640A8"/>
    <w:rsid w:val="00B64962"/>
    <w:rsid w:val="00B65F5C"/>
    <w:rsid w:val="00B66AC0"/>
    <w:rsid w:val="00B70515"/>
    <w:rsid w:val="00B7057C"/>
    <w:rsid w:val="00B71252"/>
    <w:rsid w:val="00B71634"/>
    <w:rsid w:val="00B719B6"/>
    <w:rsid w:val="00B71D15"/>
    <w:rsid w:val="00B71E30"/>
    <w:rsid w:val="00B72EA9"/>
    <w:rsid w:val="00B73091"/>
    <w:rsid w:val="00B7449D"/>
    <w:rsid w:val="00B74AE0"/>
    <w:rsid w:val="00B74F60"/>
    <w:rsid w:val="00B75139"/>
    <w:rsid w:val="00B757C1"/>
    <w:rsid w:val="00B75BFF"/>
    <w:rsid w:val="00B766C9"/>
    <w:rsid w:val="00B778FA"/>
    <w:rsid w:val="00B80541"/>
    <w:rsid w:val="00B80840"/>
    <w:rsid w:val="00B815FC"/>
    <w:rsid w:val="00B81623"/>
    <w:rsid w:val="00B82A05"/>
    <w:rsid w:val="00B830AE"/>
    <w:rsid w:val="00B8340A"/>
    <w:rsid w:val="00B83461"/>
    <w:rsid w:val="00B83E38"/>
    <w:rsid w:val="00B84409"/>
    <w:rsid w:val="00B84B43"/>
    <w:rsid w:val="00B84CE0"/>
    <w:rsid w:val="00B84E2D"/>
    <w:rsid w:val="00B858D2"/>
    <w:rsid w:val="00B8746A"/>
    <w:rsid w:val="00B90FF9"/>
    <w:rsid w:val="00B9277F"/>
    <w:rsid w:val="00B927C9"/>
    <w:rsid w:val="00B92AED"/>
    <w:rsid w:val="00B93DF4"/>
    <w:rsid w:val="00B9559D"/>
    <w:rsid w:val="00B95C8E"/>
    <w:rsid w:val="00B96EFA"/>
    <w:rsid w:val="00B97913"/>
    <w:rsid w:val="00B97CCF"/>
    <w:rsid w:val="00BA0025"/>
    <w:rsid w:val="00BA04D2"/>
    <w:rsid w:val="00BA0AD3"/>
    <w:rsid w:val="00BA173B"/>
    <w:rsid w:val="00BA43A2"/>
    <w:rsid w:val="00BA5604"/>
    <w:rsid w:val="00BA5E45"/>
    <w:rsid w:val="00BA61AC"/>
    <w:rsid w:val="00BA70E4"/>
    <w:rsid w:val="00BA73BD"/>
    <w:rsid w:val="00BA7631"/>
    <w:rsid w:val="00BB003B"/>
    <w:rsid w:val="00BB1608"/>
    <w:rsid w:val="00BB17B0"/>
    <w:rsid w:val="00BB18CD"/>
    <w:rsid w:val="00BB1F1B"/>
    <w:rsid w:val="00BB28BF"/>
    <w:rsid w:val="00BB2F42"/>
    <w:rsid w:val="00BB3057"/>
    <w:rsid w:val="00BB375B"/>
    <w:rsid w:val="00BB4AC0"/>
    <w:rsid w:val="00BB5683"/>
    <w:rsid w:val="00BB5F95"/>
    <w:rsid w:val="00BB627E"/>
    <w:rsid w:val="00BB6FBE"/>
    <w:rsid w:val="00BC0377"/>
    <w:rsid w:val="00BC0CB6"/>
    <w:rsid w:val="00BC112B"/>
    <w:rsid w:val="00BC17DF"/>
    <w:rsid w:val="00BC3A60"/>
    <w:rsid w:val="00BC42CA"/>
    <w:rsid w:val="00BC4888"/>
    <w:rsid w:val="00BC6832"/>
    <w:rsid w:val="00BC7B09"/>
    <w:rsid w:val="00BD0826"/>
    <w:rsid w:val="00BD0DFD"/>
    <w:rsid w:val="00BD124B"/>
    <w:rsid w:val="00BD15AB"/>
    <w:rsid w:val="00BD181D"/>
    <w:rsid w:val="00BD1B60"/>
    <w:rsid w:val="00BD1C10"/>
    <w:rsid w:val="00BD1DCF"/>
    <w:rsid w:val="00BD23B2"/>
    <w:rsid w:val="00BD2BB0"/>
    <w:rsid w:val="00BD4D7E"/>
    <w:rsid w:val="00BD51A2"/>
    <w:rsid w:val="00BD5819"/>
    <w:rsid w:val="00BD6EC1"/>
    <w:rsid w:val="00BD70C0"/>
    <w:rsid w:val="00BD7793"/>
    <w:rsid w:val="00BD7C3D"/>
    <w:rsid w:val="00BE04AF"/>
    <w:rsid w:val="00BE0567"/>
    <w:rsid w:val="00BE08B9"/>
    <w:rsid w:val="00BE15B0"/>
    <w:rsid w:val="00BE18F0"/>
    <w:rsid w:val="00BE1BAF"/>
    <w:rsid w:val="00BE302F"/>
    <w:rsid w:val="00BE308D"/>
    <w:rsid w:val="00BE3210"/>
    <w:rsid w:val="00BE350E"/>
    <w:rsid w:val="00BE3E56"/>
    <w:rsid w:val="00BE4BF7"/>
    <w:rsid w:val="00BE4F34"/>
    <w:rsid w:val="00BE5AAF"/>
    <w:rsid w:val="00BE5BB2"/>
    <w:rsid w:val="00BE62F6"/>
    <w:rsid w:val="00BE638E"/>
    <w:rsid w:val="00BF27B2"/>
    <w:rsid w:val="00BF2AA0"/>
    <w:rsid w:val="00BF32F8"/>
    <w:rsid w:val="00BF385F"/>
    <w:rsid w:val="00BF4F06"/>
    <w:rsid w:val="00BF534E"/>
    <w:rsid w:val="00BF5691"/>
    <w:rsid w:val="00BF56D8"/>
    <w:rsid w:val="00BF5717"/>
    <w:rsid w:val="00BF5C91"/>
    <w:rsid w:val="00BF66D2"/>
    <w:rsid w:val="00BF7AD7"/>
    <w:rsid w:val="00C005D7"/>
    <w:rsid w:val="00C01585"/>
    <w:rsid w:val="00C03EF6"/>
    <w:rsid w:val="00C0449B"/>
    <w:rsid w:val="00C04793"/>
    <w:rsid w:val="00C04BB9"/>
    <w:rsid w:val="00C06A47"/>
    <w:rsid w:val="00C0764A"/>
    <w:rsid w:val="00C10918"/>
    <w:rsid w:val="00C13E81"/>
    <w:rsid w:val="00C1410E"/>
    <w:rsid w:val="00C141C6"/>
    <w:rsid w:val="00C15663"/>
    <w:rsid w:val="00C16508"/>
    <w:rsid w:val="00C16F5A"/>
    <w:rsid w:val="00C17D87"/>
    <w:rsid w:val="00C2071A"/>
    <w:rsid w:val="00C20779"/>
    <w:rsid w:val="00C20ACB"/>
    <w:rsid w:val="00C217C3"/>
    <w:rsid w:val="00C2266F"/>
    <w:rsid w:val="00C23703"/>
    <w:rsid w:val="00C256B7"/>
    <w:rsid w:val="00C26068"/>
    <w:rsid w:val="00C26DF9"/>
    <w:rsid w:val="00C26F94"/>
    <w:rsid w:val="00C271A8"/>
    <w:rsid w:val="00C3050C"/>
    <w:rsid w:val="00C30BF6"/>
    <w:rsid w:val="00C31F15"/>
    <w:rsid w:val="00C32067"/>
    <w:rsid w:val="00C32655"/>
    <w:rsid w:val="00C32DB9"/>
    <w:rsid w:val="00C33BD7"/>
    <w:rsid w:val="00C34279"/>
    <w:rsid w:val="00C346AD"/>
    <w:rsid w:val="00C353E0"/>
    <w:rsid w:val="00C366AD"/>
    <w:rsid w:val="00C36E3A"/>
    <w:rsid w:val="00C37555"/>
    <w:rsid w:val="00C37787"/>
    <w:rsid w:val="00C37A77"/>
    <w:rsid w:val="00C41141"/>
    <w:rsid w:val="00C41FF6"/>
    <w:rsid w:val="00C42DF9"/>
    <w:rsid w:val="00C431BA"/>
    <w:rsid w:val="00C43448"/>
    <w:rsid w:val="00C4375C"/>
    <w:rsid w:val="00C449AD"/>
    <w:rsid w:val="00C44AE4"/>
    <w:rsid w:val="00C44E30"/>
    <w:rsid w:val="00C4536C"/>
    <w:rsid w:val="00C458A3"/>
    <w:rsid w:val="00C45C77"/>
    <w:rsid w:val="00C45F59"/>
    <w:rsid w:val="00C461E6"/>
    <w:rsid w:val="00C462E3"/>
    <w:rsid w:val="00C47475"/>
    <w:rsid w:val="00C47532"/>
    <w:rsid w:val="00C475BD"/>
    <w:rsid w:val="00C50045"/>
    <w:rsid w:val="00C50771"/>
    <w:rsid w:val="00C508BE"/>
    <w:rsid w:val="00C50C87"/>
    <w:rsid w:val="00C53FAF"/>
    <w:rsid w:val="00C552BF"/>
    <w:rsid w:val="00C55883"/>
    <w:rsid w:val="00C55FE8"/>
    <w:rsid w:val="00C56BE8"/>
    <w:rsid w:val="00C57034"/>
    <w:rsid w:val="00C60118"/>
    <w:rsid w:val="00C619C8"/>
    <w:rsid w:val="00C62B84"/>
    <w:rsid w:val="00C62E79"/>
    <w:rsid w:val="00C63193"/>
    <w:rsid w:val="00C6367C"/>
    <w:rsid w:val="00C63C51"/>
    <w:rsid w:val="00C63C9B"/>
    <w:rsid w:val="00C63EC4"/>
    <w:rsid w:val="00C64CD9"/>
    <w:rsid w:val="00C64DEF"/>
    <w:rsid w:val="00C66E3B"/>
    <w:rsid w:val="00C670F8"/>
    <w:rsid w:val="00C6780B"/>
    <w:rsid w:val="00C70637"/>
    <w:rsid w:val="00C712BB"/>
    <w:rsid w:val="00C728B5"/>
    <w:rsid w:val="00C730CE"/>
    <w:rsid w:val="00C7358A"/>
    <w:rsid w:val="00C73A90"/>
    <w:rsid w:val="00C740D2"/>
    <w:rsid w:val="00C74A35"/>
    <w:rsid w:val="00C75269"/>
    <w:rsid w:val="00C75AC0"/>
    <w:rsid w:val="00C76C2F"/>
    <w:rsid w:val="00C76D49"/>
    <w:rsid w:val="00C771D7"/>
    <w:rsid w:val="00C77FDD"/>
    <w:rsid w:val="00C80AD4"/>
    <w:rsid w:val="00C80B5E"/>
    <w:rsid w:val="00C81EEC"/>
    <w:rsid w:val="00C82055"/>
    <w:rsid w:val="00C8325B"/>
    <w:rsid w:val="00C84D04"/>
    <w:rsid w:val="00C8596E"/>
    <w:rsid w:val="00C8630A"/>
    <w:rsid w:val="00C86C30"/>
    <w:rsid w:val="00C87A1A"/>
    <w:rsid w:val="00C87CCE"/>
    <w:rsid w:val="00C90284"/>
    <w:rsid w:val="00C9061B"/>
    <w:rsid w:val="00C92993"/>
    <w:rsid w:val="00C92D0A"/>
    <w:rsid w:val="00C93EBA"/>
    <w:rsid w:val="00C9415D"/>
    <w:rsid w:val="00C94C6D"/>
    <w:rsid w:val="00C974FE"/>
    <w:rsid w:val="00C9796E"/>
    <w:rsid w:val="00C979E0"/>
    <w:rsid w:val="00CA0BD8"/>
    <w:rsid w:val="00CA1851"/>
    <w:rsid w:val="00CA211A"/>
    <w:rsid w:val="00CA2345"/>
    <w:rsid w:val="00CA2FD7"/>
    <w:rsid w:val="00CA472A"/>
    <w:rsid w:val="00CA5851"/>
    <w:rsid w:val="00CA5E3D"/>
    <w:rsid w:val="00CA69E3"/>
    <w:rsid w:val="00CA6B28"/>
    <w:rsid w:val="00CA72BB"/>
    <w:rsid w:val="00CA7FF5"/>
    <w:rsid w:val="00CB06A9"/>
    <w:rsid w:val="00CB07E5"/>
    <w:rsid w:val="00CB09E0"/>
    <w:rsid w:val="00CB0F21"/>
    <w:rsid w:val="00CB1423"/>
    <w:rsid w:val="00CB179E"/>
    <w:rsid w:val="00CB1A88"/>
    <w:rsid w:val="00CB1C14"/>
    <w:rsid w:val="00CB1E7C"/>
    <w:rsid w:val="00CB2EA1"/>
    <w:rsid w:val="00CB2F84"/>
    <w:rsid w:val="00CB363F"/>
    <w:rsid w:val="00CB399F"/>
    <w:rsid w:val="00CB3E75"/>
    <w:rsid w:val="00CB3FA9"/>
    <w:rsid w:val="00CB3FC2"/>
    <w:rsid w:val="00CB43F1"/>
    <w:rsid w:val="00CB581E"/>
    <w:rsid w:val="00CB599D"/>
    <w:rsid w:val="00CB5E81"/>
    <w:rsid w:val="00CB62EC"/>
    <w:rsid w:val="00CB63B1"/>
    <w:rsid w:val="00CB6A8A"/>
    <w:rsid w:val="00CB6EDE"/>
    <w:rsid w:val="00CC0F33"/>
    <w:rsid w:val="00CC41BA"/>
    <w:rsid w:val="00CC4793"/>
    <w:rsid w:val="00CC6BE6"/>
    <w:rsid w:val="00CC7017"/>
    <w:rsid w:val="00CD050C"/>
    <w:rsid w:val="00CD09EF"/>
    <w:rsid w:val="00CD1550"/>
    <w:rsid w:val="00CD17C1"/>
    <w:rsid w:val="00CD1880"/>
    <w:rsid w:val="00CD1C6C"/>
    <w:rsid w:val="00CD1EDB"/>
    <w:rsid w:val="00CD315B"/>
    <w:rsid w:val="00CD37F1"/>
    <w:rsid w:val="00CD39CD"/>
    <w:rsid w:val="00CD43D8"/>
    <w:rsid w:val="00CD4606"/>
    <w:rsid w:val="00CD4E07"/>
    <w:rsid w:val="00CD552F"/>
    <w:rsid w:val="00CD6169"/>
    <w:rsid w:val="00CD6D76"/>
    <w:rsid w:val="00CD798E"/>
    <w:rsid w:val="00CE0A3B"/>
    <w:rsid w:val="00CE16C6"/>
    <w:rsid w:val="00CE20BC"/>
    <w:rsid w:val="00CE26C6"/>
    <w:rsid w:val="00CE348E"/>
    <w:rsid w:val="00CE3AF2"/>
    <w:rsid w:val="00CF04B4"/>
    <w:rsid w:val="00CF0F7E"/>
    <w:rsid w:val="00CF16D8"/>
    <w:rsid w:val="00CF1FD8"/>
    <w:rsid w:val="00CF20D0"/>
    <w:rsid w:val="00CF22B8"/>
    <w:rsid w:val="00CF2F1C"/>
    <w:rsid w:val="00CF3275"/>
    <w:rsid w:val="00CF44A1"/>
    <w:rsid w:val="00CF45F2"/>
    <w:rsid w:val="00CF4FDC"/>
    <w:rsid w:val="00CF5296"/>
    <w:rsid w:val="00CF6E13"/>
    <w:rsid w:val="00CF7776"/>
    <w:rsid w:val="00D00E9E"/>
    <w:rsid w:val="00D00F2B"/>
    <w:rsid w:val="00D021D2"/>
    <w:rsid w:val="00D02C05"/>
    <w:rsid w:val="00D03EB8"/>
    <w:rsid w:val="00D04947"/>
    <w:rsid w:val="00D05B5D"/>
    <w:rsid w:val="00D061BB"/>
    <w:rsid w:val="00D0796D"/>
    <w:rsid w:val="00D07AF7"/>
    <w:rsid w:val="00D07BE1"/>
    <w:rsid w:val="00D10AE6"/>
    <w:rsid w:val="00D116C0"/>
    <w:rsid w:val="00D120C1"/>
    <w:rsid w:val="00D133DF"/>
    <w:rsid w:val="00D13433"/>
    <w:rsid w:val="00D13A8F"/>
    <w:rsid w:val="00D13D8A"/>
    <w:rsid w:val="00D13E30"/>
    <w:rsid w:val="00D14656"/>
    <w:rsid w:val="00D15D0E"/>
    <w:rsid w:val="00D16B46"/>
    <w:rsid w:val="00D16DD3"/>
    <w:rsid w:val="00D16EA2"/>
    <w:rsid w:val="00D203F9"/>
    <w:rsid w:val="00D20DA7"/>
    <w:rsid w:val="00D22BCC"/>
    <w:rsid w:val="00D240CE"/>
    <w:rsid w:val="00D24427"/>
    <w:rsid w:val="00D244A4"/>
    <w:rsid w:val="00D24999"/>
    <w:rsid w:val="00D249A5"/>
    <w:rsid w:val="00D25547"/>
    <w:rsid w:val="00D25722"/>
    <w:rsid w:val="00D26129"/>
    <w:rsid w:val="00D26F57"/>
    <w:rsid w:val="00D2793F"/>
    <w:rsid w:val="00D279D8"/>
    <w:rsid w:val="00D27B70"/>
    <w:rsid w:val="00D27C8E"/>
    <w:rsid w:val="00D300E4"/>
    <w:rsid w:val="00D3026A"/>
    <w:rsid w:val="00D30D40"/>
    <w:rsid w:val="00D32D62"/>
    <w:rsid w:val="00D33705"/>
    <w:rsid w:val="00D35196"/>
    <w:rsid w:val="00D35ED3"/>
    <w:rsid w:val="00D3621B"/>
    <w:rsid w:val="00D366AF"/>
    <w:rsid w:val="00D36E44"/>
    <w:rsid w:val="00D372E1"/>
    <w:rsid w:val="00D40205"/>
    <w:rsid w:val="00D40331"/>
    <w:rsid w:val="00D40C72"/>
    <w:rsid w:val="00D40DF6"/>
    <w:rsid w:val="00D4141B"/>
    <w:rsid w:val="00D4145D"/>
    <w:rsid w:val="00D4460B"/>
    <w:rsid w:val="00D44AC4"/>
    <w:rsid w:val="00D45334"/>
    <w:rsid w:val="00D456FB"/>
    <w:rsid w:val="00D458F0"/>
    <w:rsid w:val="00D50B3B"/>
    <w:rsid w:val="00D50FE0"/>
    <w:rsid w:val="00D51C1C"/>
    <w:rsid w:val="00D51C97"/>
    <w:rsid w:val="00D51FCC"/>
    <w:rsid w:val="00D5370C"/>
    <w:rsid w:val="00D53F09"/>
    <w:rsid w:val="00D54366"/>
    <w:rsid w:val="00D5467F"/>
    <w:rsid w:val="00D54AAB"/>
    <w:rsid w:val="00D55837"/>
    <w:rsid w:val="00D55F83"/>
    <w:rsid w:val="00D56315"/>
    <w:rsid w:val="00D56A9F"/>
    <w:rsid w:val="00D57600"/>
    <w:rsid w:val="00D57BA2"/>
    <w:rsid w:val="00D57D45"/>
    <w:rsid w:val="00D60A12"/>
    <w:rsid w:val="00D60F51"/>
    <w:rsid w:val="00D61094"/>
    <w:rsid w:val="00D61306"/>
    <w:rsid w:val="00D626E0"/>
    <w:rsid w:val="00D6316D"/>
    <w:rsid w:val="00D64BBE"/>
    <w:rsid w:val="00D65E43"/>
    <w:rsid w:val="00D6730A"/>
    <w:rsid w:val="00D674A6"/>
    <w:rsid w:val="00D67DAA"/>
    <w:rsid w:val="00D7168E"/>
    <w:rsid w:val="00D71C65"/>
    <w:rsid w:val="00D72268"/>
    <w:rsid w:val="00D72719"/>
    <w:rsid w:val="00D73EDC"/>
    <w:rsid w:val="00D73F9D"/>
    <w:rsid w:val="00D74116"/>
    <w:rsid w:val="00D74186"/>
    <w:rsid w:val="00D74B7C"/>
    <w:rsid w:val="00D74CA1"/>
    <w:rsid w:val="00D75F60"/>
    <w:rsid w:val="00D76068"/>
    <w:rsid w:val="00D76B01"/>
    <w:rsid w:val="00D771D2"/>
    <w:rsid w:val="00D77C71"/>
    <w:rsid w:val="00D800AA"/>
    <w:rsid w:val="00D804A2"/>
    <w:rsid w:val="00D80969"/>
    <w:rsid w:val="00D8420A"/>
    <w:rsid w:val="00D842AD"/>
    <w:rsid w:val="00D84704"/>
    <w:rsid w:val="00D84852"/>
    <w:rsid w:val="00D84BF9"/>
    <w:rsid w:val="00D84F9F"/>
    <w:rsid w:val="00D85893"/>
    <w:rsid w:val="00D85F65"/>
    <w:rsid w:val="00D86275"/>
    <w:rsid w:val="00D900C4"/>
    <w:rsid w:val="00D909E9"/>
    <w:rsid w:val="00D9156A"/>
    <w:rsid w:val="00D921FD"/>
    <w:rsid w:val="00D92BE5"/>
    <w:rsid w:val="00D93714"/>
    <w:rsid w:val="00D94034"/>
    <w:rsid w:val="00D94F83"/>
    <w:rsid w:val="00D9516D"/>
    <w:rsid w:val="00D95424"/>
    <w:rsid w:val="00D95488"/>
    <w:rsid w:val="00D96189"/>
    <w:rsid w:val="00D966E4"/>
    <w:rsid w:val="00D96717"/>
    <w:rsid w:val="00DA02F0"/>
    <w:rsid w:val="00DA1987"/>
    <w:rsid w:val="00DA4084"/>
    <w:rsid w:val="00DA4DE0"/>
    <w:rsid w:val="00DA56ED"/>
    <w:rsid w:val="00DA5A54"/>
    <w:rsid w:val="00DA5C0D"/>
    <w:rsid w:val="00DA6C4A"/>
    <w:rsid w:val="00DB1E63"/>
    <w:rsid w:val="00DB3C59"/>
    <w:rsid w:val="00DB423C"/>
    <w:rsid w:val="00DB4927"/>
    <w:rsid w:val="00DB4B28"/>
    <w:rsid w:val="00DB4D19"/>
    <w:rsid w:val="00DB4E26"/>
    <w:rsid w:val="00DB714B"/>
    <w:rsid w:val="00DC1025"/>
    <w:rsid w:val="00DC10F6"/>
    <w:rsid w:val="00DC1B12"/>
    <w:rsid w:val="00DC1EB8"/>
    <w:rsid w:val="00DC2829"/>
    <w:rsid w:val="00DC2E0D"/>
    <w:rsid w:val="00DC3662"/>
    <w:rsid w:val="00DC3E45"/>
    <w:rsid w:val="00DC4598"/>
    <w:rsid w:val="00DC46BD"/>
    <w:rsid w:val="00DC5FDD"/>
    <w:rsid w:val="00DC7EE7"/>
    <w:rsid w:val="00DD0198"/>
    <w:rsid w:val="00DD0596"/>
    <w:rsid w:val="00DD0722"/>
    <w:rsid w:val="00DD0B3D"/>
    <w:rsid w:val="00DD1084"/>
    <w:rsid w:val="00DD212F"/>
    <w:rsid w:val="00DD59ED"/>
    <w:rsid w:val="00DD6ED0"/>
    <w:rsid w:val="00DE06DE"/>
    <w:rsid w:val="00DE18F5"/>
    <w:rsid w:val="00DE3782"/>
    <w:rsid w:val="00DE51FB"/>
    <w:rsid w:val="00DE6A05"/>
    <w:rsid w:val="00DE73D2"/>
    <w:rsid w:val="00DE781A"/>
    <w:rsid w:val="00DE7910"/>
    <w:rsid w:val="00DF0F39"/>
    <w:rsid w:val="00DF3374"/>
    <w:rsid w:val="00DF44DD"/>
    <w:rsid w:val="00DF4CFD"/>
    <w:rsid w:val="00DF5BFB"/>
    <w:rsid w:val="00DF5CD6"/>
    <w:rsid w:val="00DF669A"/>
    <w:rsid w:val="00E022DA"/>
    <w:rsid w:val="00E03BCB"/>
    <w:rsid w:val="00E03F0E"/>
    <w:rsid w:val="00E047BC"/>
    <w:rsid w:val="00E04BB3"/>
    <w:rsid w:val="00E04BB4"/>
    <w:rsid w:val="00E067B4"/>
    <w:rsid w:val="00E06813"/>
    <w:rsid w:val="00E11210"/>
    <w:rsid w:val="00E11661"/>
    <w:rsid w:val="00E11F8F"/>
    <w:rsid w:val="00E12001"/>
    <w:rsid w:val="00E124DC"/>
    <w:rsid w:val="00E14931"/>
    <w:rsid w:val="00E14F33"/>
    <w:rsid w:val="00E15A41"/>
    <w:rsid w:val="00E16825"/>
    <w:rsid w:val="00E16E26"/>
    <w:rsid w:val="00E17106"/>
    <w:rsid w:val="00E203E8"/>
    <w:rsid w:val="00E22074"/>
    <w:rsid w:val="00E22923"/>
    <w:rsid w:val="00E22B30"/>
    <w:rsid w:val="00E22B59"/>
    <w:rsid w:val="00E22D68"/>
    <w:rsid w:val="00E247D9"/>
    <w:rsid w:val="00E258D8"/>
    <w:rsid w:val="00E26DDF"/>
    <w:rsid w:val="00E270E5"/>
    <w:rsid w:val="00E30167"/>
    <w:rsid w:val="00E30FF7"/>
    <w:rsid w:val="00E315B0"/>
    <w:rsid w:val="00E318E3"/>
    <w:rsid w:val="00E31E76"/>
    <w:rsid w:val="00E3212A"/>
    <w:rsid w:val="00E32C2B"/>
    <w:rsid w:val="00E33420"/>
    <w:rsid w:val="00E33493"/>
    <w:rsid w:val="00E33985"/>
    <w:rsid w:val="00E34A30"/>
    <w:rsid w:val="00E34A79"/>
    <w:rsid w:val="00E37922"/>
    <w:rsid w:val="00E404CD"/>
    <w:rsid w:val="00E40586"/>
    <w:rsid w:val="00E406DF"/>
    <w:rsid w:val="00E415D3"/>
    <w:rsid w:val="00E41E37"/>
    <w:rsid w:val="00E41F9E"/>
    <w:rsid w:val="00E42E50"/>
    <w:rsid w:val="00E44B57"/>
    <w:rsid w:val="00E45F48"/>
    <w:rsid w:val="00E46041"/>
    <w:rsid w:val="00E469E4"/>
    <w:rsid w:val="00E475C3"/>
    <w:rsid w:val="00E509B0"/>
    <w:rsid w:val="00E50B11"/>
    <w:rsid w:val="00E51376"/>
    <w:rsid w:val="00E53952"/>
    <w:rsid w:val="00E54110"/>
    <w:rsid w:val="00E54246"/>
    <w:rsid w:val="00E55D8E"/>
    <w:rsid w:val="00E55F15"/>
    <w:rsid w:val="00E55FD0"/>
    <w:rsid w:val="00E56885"/>
    <w:rsid w:val="00E56F01"/>
    <w:rsid w:val="00E571F9"/>
    <w:rsid w:val="00E57FB1"/>
    <w:rsid w:val="00E60487"/>
    <w:rsid w:val="00E60789"/>
    <w:rsid w:val="00E610BE"/>
    <w:rsid w:val="00E629E6"/>
    <w:rsid w:val="00E64A03"/>
    <w:rsid w:val="00E650FC"/>
    <w:rsid w:val="00E6641E"/>
    <w:rsid w:val="00E66F18"/>
    <w:rsid w:val="00E70704"/>
    <w:rsid w:val="00E70856"/>
    <w:rsid w:val="00E72079"/>
    <w:rsid w:val="00E727DE"/>
    <w:rsid w:val="00E74A30"/>
    <w:rsid w:val="00E76CB1"/>
    <w:rsid w:val="00E77497"/>
    <w:rsid w:val="00E77778"/>
    <w:rsid w:val="00E77B7E"/>
    <w:rsid w:val="00E77BA8"/>
    <w:rsid w:val="00E81788"/>
    <w:rsid w:val="00E828AA"/>
    <w:rsid w:val="00E82DF1"/>
    <w:rsid w:val="00E83531"/>
    <w:rsid w:val="00E90CAA"/>
    <w:rsid w:val="00E91B9B"/>
    <w:rsid w:val="00E927F4"/>
    <w:rsid w:val="00E928CF"/>
    <w:rsid w:val="00E93339"/>
    <w:rsid w:val="00E95567"/>
    <w:rsid w:val="00E96532"/>
    <w:rsid w:val="00E973A0"/>
    <w:rsid w:val="00EA00DC"/>
    <w:rsid w:val="00EA01F6"/>
    <w:rsid w:val="00EA1688"/>
    <w:rsid w:val="00EA1AFC"/>
    <w:rsid w:val="00EA2317"/>
    <w:rsid w:val="00EA3A7D"/>
    <w:rsid w:val="00EA4C83"/>
    <w:rsid w:val="00EA54D6"/>
    <w:rsid w:val="00EA63B5"/>
    <w:rsid w:val="00EA6C40"/>
    <w:rsid w:val="00EA762A"/>
    <w:rsid w:val="00EB0682"/>
    <w:rsid w:val="00EB0A37"/>
    <w:rsid w:val="00EB0F71"/>
    <w:rsid w:val="00EB12CD"/>
    <w:rsid w:val="00EB5D6A"/>
    <w:rsid w:val="00EB6C02"/>
    <w:rsid w:val="00EB763D"/>
    <w:rsid w:val="00EB7FE4"/>
    <w:rsid w:val="00EC0A92"/>
    <w:rsid w:val="00EC0BBB"/>
    <w:rsid w:val="00EC0C99"/>
    <w:rsid w:val="00EC0FB6"/>
    <w:rsid w:val="00EC1B0F"/>
    <w:rsid w:val="00EC1DA0"/>
    <w:rsid w:val="00EC2C1F"/>
    <w:rsid w:val="00EC2D1D"/>
    <w:rsid w:val="00EC3106"/>
    <w:rsid w:val="00EC329B"/>
    <w:rsid w:val="00EC3969"/>
    <w:rsid w:val="00EC4906"/>
    <w:rsid w:val="00EC49A2"/>
    <w:rsid w:val="00EC4DB1"/>
    <w:rsid w:val="00EC5EB9"/>
    <w:rsid w:val="00EC6006"/>
    <w:rsid w:val="00EC645A"/>
    <w:rsid w:val="00EC71A6"/>
    <w:rsid w:val="00EC73EB"/>
    <w:rsid w:val="00EC7E7B"/>
    <w:rsid w:val="00ED2A94"/>
    <w:rsid w:val="00ED44FE"/>
    <w:rsid w:val="00ED592E"/>
    <w:rsid w:val="00ED6ABD"/>
    <w:rsid w:val="00ED72E1"/>
    <w:rsid w:val="00ED7785"/>
    <w:rsid w:val="00EE2143"/>
    <w:rsid w:val="00EE2642"/>
    <w:rsid w:val="00EE31AC"/>
    <w:rsid w:val="00EE3C0F"/>
    <w:rsid w:val="00EE41C2"/>
    <w:rsid w:val="00EE4A69"/>
    <w:rsid w:val="00EE5230"/>
    <w:rsid w:val="00EE5CEE"/>
    <w:rsid w:val="00EE5EB8"/>
    <w:rsid w:val="00EE6513"/>
    <w:rsid w:val="00EE66E5"/>
    <w:rsid w:val="00EE6810"/>
    <w:rsid w:val="00EE6E11"/>
    <w:rsid w:val="00EE6E46"/>
    <w:rsid w:val="00EE7ABA"/>
    <w:rsid w:val="00EF1601"/>
    <w:rsid w:val="00EF18E1"/>
    <w:rsid w:val="00EF21FE"/>
    <w:rsid w:val="00EF2760"/>
    <w:rsid w:val="00EF2A7F"/>
    <w:rsid w:val="00EF2D58"/>
    <w:rsid w:val="00EF37C2"/>
    <w:rsid w:val="00EF42E1"/>
    <w:rsid w:val="00EF4803"/>
    <w:rsid w:val="00EF5127"/>
    <w:rsid w:val="00EF7026"/>
    <w:rsid w:val="00EF745A"/>
    <w:rsid w:val="00F0012A"/>
    <w:rsid w:val="00F00A54"/>
    <w:rsid w:val="00F00B51"/>
    <w:rsid w:val="00F03EAC"/>
    <w:rsid w:val="00F04B7C"/>
    <w:rsid w:val="00F078B5"/>
    <w:rsid w:val="00F07BCB"/>
    <w:rsid w:val="00F07E93"/>
    <w:rsid w:val="00F1112F"/>
    <w:rsid w:val="00F13929"/>
    <w:rsid w:val="00F14024"/>
    <w:rsid w:val="00F149A7"/>
    <w:rsid w:val="00F14FA3"/>
    <w:rsid w:val="00F159F1"/>
    <w:rsid w:val="00F15DB1"/>
    <w:rsid w:val="00F17CEC"/>
    <w:rsid w:val="00F217C9"/>
    <w:rsid w:val="00F24297"/>
    <w:rsid w:val="00F2541A"/>
    <w:rsid w:val="00F2564A"/>
    <w:rsid w:val="00F25761"/>
    <w:rsid w:val="00F258E5"/>
    <w:rsid w:val="00F259D7"/>
    <w:rsid w:val="00F26293"/>
    <w:rsid w:val="00F27A28"/>
    <w:rsid w:val="00F31A28"/>
    <w:rsid w:val="00F3217E"/>
    <w:rsid w:val="00F32941"/>
    <w:rsid w:val="00F32980"/>
    <w:rsid w:val="00F32D05"/>
    <w:rsid w:val="00F32FEC"/>
    <w:rsid w:val="00F3430A"/>
    <w:rsid w:val="00F34BFC"/>
    <w:rsid w:val="00F35263"/>
    <w:rsid w:val="00F35AC7"/>
    <w:rsid w:val="00F35BAE"/>
    <w:rsid w:val="00F35E34"/>
    <w:rsid w:val="00F403BF"/>
    <w:rsid w:val="00F40EBF"/>
    <w:rsid w:val="00F412D5"/>
    <w:rsid w:val="00F4342F"/>
    <w:rsid w:val="00F45227"/>
    <w:rsid w:val="00F46124"/>
    <w:rsid w:val="00F47442"/>
    <w:rsid w:val="00F5045C"/>
    <w:rsid w:val="00F50E44"/>
    <w:rsid w:val="00F520C7"/>
    <w:rsid w:val="00F52590"/>
    <w:rsid w:val="00F53AEA"/>
    <w:rsid w:val="00F545C5"/>
    <w:rsid w:val="00F547AF"/>
    <w:rsid w:val="00F55207"/>
    <w:rsid w:val="00F554B4"/>
    <w:rsid w:val="00F55A0E"/>
    <w:rsid w:val="00F55AC7"/>
    <w:rsid w:val="00F55FC9"/>
    <w:rsid w:val="00F55FE0"/>
    <w:rsid w:val="00F563CD"/>
    <w:rsid w:val="00F5663B"/>
    <w:rsid w:val="00F5674D"/>
    <w:rsid w:val="00F56B2C"/>
    <w:rsid w:val="00F61FC4"/>
    <w:rsid w:val="00F6392C"/>
    <w:rsid w:val="00F63E9F"/>
    <w:rsid w:val="00F64256"/>
    <w:rsid w:val="00F64A41"/>
    <w:rsid w:val="00F65BF4"/>
    <w:rsid w:val="00F66093"/>
    <w:rsid w:val="00F663C2"/>
    <w:rsid w:val="00F66657"/>
    <w:rsid w:val="00F6751E"/>
    <w:rsid w:val="00F6799C"/>
    <w:rsid w:val="00F67EC4"/>
    <w:rsid w:val="00F7045B"/>
    <w:rsid w:val="00F70848"/>
    <w:rsid w:val="00F72842"/>
    <w:rsid w:val="00F73A60"/>
    <w:rsid w:val="00F73E00"/>
    <w:rsid w:val="00F75F86"/>
    <w:rsid w:val="00F77732"/>
    <w:rsid w:val="00F8015D"/>
    <w:rsid w:val="00F818B4"/>
    <w:rsid w:val="00F829C7"/>
    <w:rsid w:val="00F82FDA"/>
    <w:rsid w:val="00F834AA"/>
    <w:rsid w:val="00F839EA"/>
    <w:rsid w:val="00F83BC7"/>
    <w:rsid w:val="00F848D6"/>
    <w:rsid w:val="00F84E39"/>
    <w:rsid w:val="00F859AE"/>
    <w:rsid w:val="00F85BB2"/>
    <w:rsid w:val="00F85F42"/>
    <w:rsid w:val="00F86F19"/>
    <w:rsid w:val="00F90684"/>
    <w:rsid w:val="00F922B2"/>
    <w:rsid w:val="00F9288E"/>
    <w:rsid w:val="00F943C8"/>
    <w:rsid w:val="00F947BC"/>
    <w:rsid w:val="00F9505F"/>
    <w:rsid w:val="00F95CB1"/>
    <w:rsid w:val="00F964BF"/>
    <w:rsid w:val="00F96B28"/>
    <w:rsid w:val="00F96CB2"/>
    <w:rsid w:val="00F973E4"/>
    <w:rsid w:val="00F979E6"/>
    <w:rsid w:val="00FA05B4"/>
    <w:rsid w:val="00FA1564"/>
    <w:rsid w:val="00FA1E3C"/>
    <w:rsid w:val="00FA2E3F"/>
    <w:rsid w:val="00FA41B4"/>
    <w:rsid w:val="00FA5CF2"/>
    <w:rsid w:val="00FA5DDD"/>
    <w:rsid w:val="00FA6255"/>
    <w:rsid w:val="00FA6E10"/>
    <w:rsid w:val="00FA7644"/>
    <w:rsid w:val="00FA76DE"/>
    <w:rsid w:val="00FA78B7"/>
    <w:rsid w:val="00FA7DB9"/>
    <w:rsid w:val="00FB0647"/>
    <w:rsid w:val="00FB0BD1"/>
    <w:rsid w:val="00FB0DF3"/>
    <w:rsid w:val="00FB1FA3"/>
    <w:rsid w:val="00FB291A"/>
    <w:rsid w:val="00FB3E51"/>
    <w:rsid w:val="00FB43A8"/>
    <w:rsid w:val="00FB4D12"/>
    <w:rsid w:val="00FB4D70"/>
    <w:rsid w:val="00FB5279"/>
    <w:rsid w:val="00FB7F12"/>
    <w:rsid w:val="00FC069A"/>
    <w:rsid w:val="00FC086B"/>
    <w:rsid w:val="00FC08A9"/>
    <w:rsid w:val="00FC0BA0"/>
    <w:rsid w:val="00FC0FA9"/>
    <w:rsid w:val="00FC1B97"/>
    <w:rsid w:val="00FC2542"/>
    <w:rsid w:val="00FC28B1"/>
    <w:rsid w:val="00FC2979"/>
    <w:rsid w:val="00FC7585"/>
    <w:rsid w:val="00FC7600"/>
    <w:rsid w:val="00FD0B58"/>
    <w:rsid w:val="00FD0B7B"/>
    <w:rsid w:val="00FD11BA"/>
    <w:rsid w:val="00FD1314"/>
    <w:rsid w:val="00FD1A46"/>
    <w:rsid w:val="00FD1DB6"/>
    <w:rsid w:val="00FD2C00"/>
    <w:rsid w:val="00FD4C08"/>
    <w:rsid w:val="00FD66D4"/>
    <w:rsid w:val="00FD7185"/>
    <w:rsid w:val="00FE13C7"/>
    <w:rsid w:val="00FE1DCC"/>
    <w:rsid w:val="00FE1DD4"/>
    <w:rsid w:val="00FE2B19"/>
    <w:rsid w:val="00FE322F"/>
    <w:rsid w:val="00FE4CD4"/>
    <w:rsid w:val="00FE6735"/>
    <w:rsid w:val="00FE79C8"/>
    <w:rsid w:val="00FF0538"/>
    <w:rsid w:val="00FF06D1"/>
    <w:rsid w:val="00FF2A92"/>
    <w:rsid w:val="00FF43AE"/>
    <w:rsid w:val="00FF4EF4"/>
    <w:rsid w:val="00FF5B88"/>
    <w:rsid w:val="00FF6BA9"/>
    <w:rsid w:val="00FF7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D4D89"/>
  <w15:docId w15:val="{079BB81D-3B68-420C-B719-D0C2398C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AB"/>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707CD2"/>
    <w:pPr>
      <w:numPr>
        <w:numId w:val="12"/>
      </w:numPr>
      <w:spacing w:after="100"/>
    </w:pPr>
  </w:style>
  <w:style w:type="paragraph" w:styleId="Numreradlista2">
    <w:name w:val="List Number 2"/>
    <w:basedOn w:val="Normal"/>
    <w:uiPriority w:val="6"/>
    <w:rsid w:val="00707CD2"/>
    <w:pPr>
      <w:numPr>
        <w:ilvl w:val="1"/>
        <w:numId w:val="12"/>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707CD2"/>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707CD2"/>
    <w:pPr>
      <w:numPr>
        <w:ilvl w:val="2"/>
        <w:numId w:val="12"/>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rsid w:val="00B2169D"/>
    <w:pPr>
      <w:numPr>
        <w:ilvl w:val="2"/>
        <w:numId w:val="6"/>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8"/>
      </w:numPr>
      <w:contextualSpacing/>
    </w:pPr>
  </w:style>
  <w:style w:type="paragraph" w:styleId="Numreradlista5">
    <w:name w:val="List Number 5"/>
    <w:basedOn w:val="Normal"/>
    <w:uiPriority w:val="99"/>
    <w:semiHidden/>
    <w:unhideWhenUsed/>
    <w:rsid w:val="00573DFD"/>
    <w:pPr>
      <w:numPr>
        <w:numId w:val="9"/>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10"/>
      </w:numPr>
      <w:contextualSpacing/>
    </w:pPr>
  </w:style>
  <w:style w:type="paragraph" w:styleId="Punktlista5">
    <w:name w:val="List Bullet 5"/>
    <w:basedOn w:val="Normal"/>
    <w:uiPriority w:val="99"/>
    <w:semiHidden/>
    <w:unhideWhenUsed/>
    <w:rsid w:val="00573DFD"/>
    <w:pPr>
      <w:numPr>
        <w:numId w:val="11"/>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rdtextefterlista">
    <w:name w:val="Brödtext efter lista"/>
    <w:basedOn w:val="Brdtext"/>
    <w:next w:val="Brdtext"/>
    <w:qFormat/>
    <w:rsid w:val="00707CD2"/>
  </w:style>
  <w:style w:type="paragraph" w:customStyle="1" w:styleId="Default">
    <w:name w:val="Default"/>
    <w:rsid w:val="005D5022"/>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rsid w:val="00033045"/>
    <w:pPr>
      <w:spacing w:after="0" w:line="240" w:lineRule="auto"/>
    </w:pPr>
  </w:style>
  <w:style w:type="paragraph" w:customStyle="1" w:styleId="ecl-paragraph">
    <w:name w:val="ecl-paragraph"/>
    <w:basedOn w:val="Normal"/>
    <w:rsid w:val="000F72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8C6D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3055">
      <w:bodyDiv w:val="1"/>
      <w:marLeft w:val="0"/>
      <w:marRight w:val="0"/>
      <w:marTop w:val="0"/>
      <w:marBottom w:val="0"/>
      <w:divBdr>
        <w:top w:val="none" w:sz="0" w:space="0" w:color="auto"/>
        <w:left w:val="none" w:sz="0" w:space="0" w:color="auto"/>
        <w:bottom w:val="none" w:sz="0" w:space="0" w:color="auto"/>
        <w:right w:val="none" w:sz="0" w:space="0" w:color="auto"/>
      </w:divBdr>
    </w:div>
    <w:div w:id="481041986">
      <w:bodyDiv w:val="1"/>
      <w:marLeft w:val="0"/>
      <w:marRight w:val="0"/>
      <w:marTop w:val="0"/>
      <w:marBottom w:val="0"/>
      <w:divBdr>
        <w:top w:val="none" w:sz="0" w:space="0" w:color="auto"/>
        <w:left w:val="none" w:sz="0" w:space="0" w:color="auto"/>
        <w:bottom w:val="none" w:sz="0" w:space="0" w:color="auto"/>
        <w:right w:val="none" w:sz="0" w:space="0" w:color="auto"/>
      </w:divBdr>
    </w:div>
    <w:div w:id="494615102">
      <w:bodyDiv w:val="1"/>
      <w:marLeft w:val="0"/>
      <w:marRight w:val="0"/>
      <w:marTop w:val="0"/>
      <w:marBottom w:val="0"/>
      <w:divBdr>
        <w:top w:val="none" w:sz="0" w:space="0" w:color="auto"/>
        <w:left w:val="none" w:sz="0" w:space="0" w:color="auto"/>
        <w:bottom w:val="none" w:sz="0" w:space="0" w:color="auto"/>
        <w:right w:val="none" w:sz="0" w:space="0" w:color="auto"/>
      </w:divBdr>
    </w:div>
    <w:div w:id="571042421">
      <w:bodyDiv w:val="1"/>
      <w:marLeft w:val="0"/>
      <w:marRight w:val="0"/>
      <w:marTop w:val="0"/>
      <w:marBottom w:val="0"/>
      <w:divBdr>
        <w:top w:val="none" w:sz="0" w:space="0" w:color="auto"/>
        <w:left w:val="none" w:sz="0" w:space="0" w:color="auto"/>
        <w:bottom w:val="none" w:sz="0" w:space="0" w:color="auto"/>
        <w:right w:val="none" w:sz="0" w:space="0" w:color="auto"/>
      </w:divBdr>
    </w:div>
    <w:div w:id="668022852">
      <w:bodyDiv w:val="1"/>
      <w:marLeft w:val="0"/>
      <w:marRight w:val="0"/>
      <w:marTop w:val="0"/>
      <w:marBottom w:val="0"/>
      <w:divBdr>
        <w:top w:val="none" w:sz="0" w:space="0" w:color="auto"/>
        <w:left w:val="none" w:sz="0" w:space="0" w:color="auto"/>
        <w:bottom w:val="none" w:sz="0" w:space="0" w:color="auto"/>
        <w:right w:val="none" w:sz="0" w:space="0" w:color="auto"/>
      </w:divBdr>
    </w:div>
    <w:div w:id="747465055">
      <w:bodyDiv w:val="1"/>
      <w:marLeft w:val="0"/>
      <w:marRight w:val="0"/>
      <w:marTop w:val="0"/>
      <w:marBottom w:val="0"/>
      <w:divBdr>
        <w:top w:val="none" w:sz="0" w:space="0" w:color="auto"/>
        <w:left w:val="none" w:sz="0" w:space="0" w:color="auto"/>
        <w:bottom w:val="none" w:sz="0" w:space="0" w:color="auto"/>
        <w:right w:val="none" w:sz="0" w:space="0" w:color="auto"/>
      </w:divBdr>
    </w:div>
    <w:div w:id="879437673">
      <w:bodyDiv w:val="1"/>
      <w:marLeft w:val="0"/>
      <w:marRight w:val="0"/>
      <w:marTop w:val="0"/>
      <w:marBottom w:val="0"/>
      <w:divBdr>
        <w:top w:val="none" w:sz="0" w:space="0" w:color="auto"/>
        <w:left w:val="none" w:sz="0" w:space="0" w:color="auto"/>
        <w:bottom w:val="none" w:sz="0" w:space="0" w:color="auto"/>
        <w:right w:val="none" w:sz="0" w:space="0" w:color="auto"/>
      </w:divBdr>
    </w:div>
    <w:div w:id="921448570">
      <w:bodyDiv w:val="1"/>
      <w:marLeft w:val="0"/>
      <w:marRight w:val="0"/>
      <w:marTop w:val="0"/>
      <w:marBottom w:val="0"/>
      <w:divBdr>
        <w:top w:val="none" w:sz="0" w:space="0" w:color="auto"/>
        <w:left w:val="none" w:sz="0" w:space="0" w:color="auto"/>
        <w:bottom w:val="none" w:sz="0" w:space="0" w:color="auto"/>
        <w:right w:val="none" w:sz="0" w:space="0" w:color="auto"/>
      </w:divBdr>
    </w:div>
    <w:div w:id="937369955">
      <w:bodyDiv w:val="1"/>
      <w:marLeft w:val="0"/>
      <w:marRight w:val="0"/>
      <w:marTop w:val="0"/>
      <w:marBottom w:val="0"/>
      <w:divBdr>
        <w:top w:val="none" w:sz="0" w:space="0" w:color="auto"/>
        <w:left w:val="none" w:sz="0" w:space="0" w:color="auto"/>
        <w:bottom w:val="none" w:sz="0" w:space="0" w:color="auto"/>
        <w:right w:val="none" w:sz="0" w:space="0" w:color="auto"/>
      </w:divBdr>
    </w:div>
    <w:div w:id="1155219752">
      <w:bodyDiv w:val="1"/>
      <w:marLeft w:val="0"/>
      <w:marRight w:val="0"/>
      <w:marTop w:val="0"/>
      <w:marBottom w:val="0"/>
      <w:divBdr>
        <w:top w:val="none" w:sz="0" w:space="0" w:color="auto"/>
        <w:left w:val="none" w:sz="0" w:space="0" w:color="auto"/>
        <w:bottom w:val="none" w:sz="0" w:space="0" w:color="auto"/>
        <w:right w:val="none" w:sz="0" w:space="0" w:color="auto"/>
      </w:divBdr>
    </w:div>
    <w:div w:id="1215120206">
      <w:bodyDiv w:val="1"/>
      <w:marLeft w:val="0"/>
      <w:marRight w:val="0"/>
      <w:marTop w:val="0"/>
      <w:marBottom w:val="0"/>
      <w:divBdr>
        <w:top w:val="none" w:sz="0" w:space="0" w:color="auto"/>
        <w:left w:val="none" w:sz="0" w:space="0" w:color="auto"/>
        <w:bottom w:val="none" w:sz="0" w:space="0" w:color="auto"/>
        <w:right w:val="none" w:sz="0" w:space="0" w:color="auto"/>
      </w:divBdr>
    </w:div>
    <w:div w:id="1221213960">
      <w:bodyDiv w:val="1"/>
      <w:marLeft w:val="0"/>
      <w:marRight w:val="0"/>
      <w:marTop w:val="0"/>
      <w:marBottom w:val="0"/>
      <w:divBdr>
        <w:top w:val="none" w:sz="0" w:space="0" w:color="auto"/>
        <w:left w:val="none" w:sz="0" w:space="0" w:color="auto"/>
        <w:bottom w:val="none" w:sz="0" w:space="0" w:color="auto"/>
        <w:right w:val="none" w:sz="0" w:space="0" w:color="auto"/>
      </w:divBdr>
    </w:div>
    <w:div w:id="1489858257">
      <w:bodyDiv w:val="1"/>
      <w:marLeft w:val="0"/>
      <w:marRight w:val="0"/>
      <w:marTop w:val="0"/>
      <w:marBottom w:val="0"/>
      <w:divBdr>
        <w:top w:val="none" w:sz="0" w:space="0" w:color="auto"/>
        <w:left w:val="none" w:sz="0" w:space="0" w:color="auto"/>
        <w:bottom w:val="none" w:sz="0" w:space="0" w:color="auto"/>
        <w:right w:val="none" w:sz="0" w:space="0" w:color="auto"/>
      </w:divBdr>
    </w:div>
    <w:div w:id="1523276472">
      <w:bodyDiv w:val="1"/>
      <w:marLeft w:val="0"/>
      <w:marRight w:val="0"/>
      <w:marTop w:val="0"/>
      <w:marBottom w:val="0"/>
      <w:divBdr>
        <w:top w:val="none" w:sz="0" w:space="0" w:color="auto"/>
        <w:left w:val="none" w:sz="0" w:space="0" w:color="auto"/>
        <w:bottom w:val="none" w:sz="0" w:space="0" w:color="auto"/>
        <w:right w:val="none" w:sz="0" w:space="0" w:color="auto"/>
      </w:divBdr>
    </w:div>
    <w:div w:id="1581863832">
      <w:bodyDiv w:val="1"/>
      <w:marLeft w:val="0"/>
      <w:marRight w:val="0"/>
      <w:marTop w:val="0"/>
      <w:marBottom w:val="0"/>
      <w:divBdr>
        <w:top w:val="none" w:sz="0" w:space="0" w:color="auto"/>
        <w:left w:val="none" w:sz="0" w:space="0" w:color="auto"/>
        <w:bottom w:val="none" w:sz="0" w:space="0" w:color="auto"/>
        <w:right w:val="none" w:sz="0" w:space="0" w:color="auto"/>
      </w:divBdr>
    </w:div>
    <w:div w:id="1585382721">
      <w:bodyDiv w:val="1"/>
      <w:marLeft w:val="0"/>
      <w:marRight w:val="0"/>
      <w:marTop w:val="0"/>
      <w:marBottom w:val="0"/>
      <w:divBdr>
        <w:top w:val="none" w:sz="0" w:space="0" w:color="auto"/>
        <w:left w:val="none" w:sz="0" w:space="0" w:color="auto"/>
        <w:bottom w:val="none" w:sz="0" w:space="0" w:color="auto"/>
        <w:right w:val="none" w:sz="0" w:space="0" w:color="auto"/>
      </w:divBdr>
    </w:div>
    <w:div w:id="1594048834">
      <w:bodyDiv w:val="1"/>
      <w:marLeft w:val="0"/>
      <w:marRight w:val="0"/>
      <w:marTop w:val="0"/>
      <w:marBottom w:val="0"/>
      <w:divBdr>
        <w:top w:val="none" w:sz="0" w:space="0" w:color="auto"/>
        <w:left w:val="none" w:sz="0" w:space="0" w:color="auto"/>
        <w:bottom w:val="none" w:sz="0" w:space="0" w:color="auto"/>
        <w:right w:val="none" w:sz="0" w:space="0" w:color="auto"/>
      </w:divBdr>
    </w:div>
    <w:div w:id="1770002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european-pillar-of-social-rights/scorebo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D137996DE4211AC1A736976BBB972"/>
        <w:category>
          <w:name w:val="Allmänt"/>
          <w:gallery w:val="placeholder"/>
        </w:category>
        <w:types>
          <w:type w:val="bbPlcHdr"/>
        </w:types>
        <w:behaviors>
          <w:behavior w:val="content"/>
        </w:behaviors>
        <w:guid w:val="{C2B24D01-47AE-471E-B12E-7E4777F0C563}"/>
      </w:docPartPr>
      <w:docPartBody>
        <w:p w:rsidR="00CD62D7" w:rsidRDefault="00CD62D7" w:rsidP="00CD62D7">
          <w:pPr>
            <w:pStyle w:val="F8DD137996DE4211AC1A736976BBB972"/>
          </w:pPr>
          <w:r>
            <w:t xml:space="preserve"> </w:t>
          </w:r>
        </w:p>
      </w:docPartBody>
    </w:docPart>
    <w:docPart>
      <w:docPartPr>
        <w:name w:val="13511CF5EEDD4225845E20318E0B4AB6"/>
        <w:category>
          <w:name w:val="Allmänt"/>
          <w:gallery w:val="placeholder"/>
        </w:category>
        <w:types>
          <w:type w:val="bbPlcHdr"/>
        </w:types>
        <w:behaviors>
          <w:behavior w:val="content"/>
        </w:behaviors>
        <w:guid w:val="{E6F77115-83A6-4093-BA10-911220D3490F}"/>
      </w:docPartPr>
      <w:docPartBody>
        <w:p w:rsidR="00CD62D7" w:rsidRDefault="00CD62D7" w:rsidP="00CD62D7">
          <w:pPr>
            <w:pStyle w:val="13511CF5EEDD4225845E20318E0B4AB61"/>
          </w:pPr>
          <w:r>
            <w:rPr>
              <w:rStyle w:val="Platshllartext"/>
            </w:rPr>
            <w:t xml:space="preserve"> </w:t>
          </w:r>
        </w:p>
      </w:docPartBody>
    </w:docPart>
    <w:docPart>
      <w:docPartPr>
        <w:name w:val="AE2AE629FF334F46957306153320EE44"/>
        <w:category>
          <w:name w:val="Allmänt"/>
          <w:gallery w:val="placeholder"/>
        </w:category>
        <w:types>
          <w:type w:val="bbPlcHdr"/>
        </w:types>
        <w:behaviors>
          <w:behavior w:val="content"/>
        </w:behaviors>
        <w:guid w:val="{36968A99-2395-4BD2-84DF-DA8E5CD687FF}"/>
      </w:docPartPr>
      <w:docPartBody>
        <w:p w:rsidR="00CD62D7" w:rsidRDefault="00CD62D7" w:rsidP="00CD62D7">
          <w:pPr>
            <w:pStyle w:val="AE2AE629FF334F46957306153320EE441"/>
          </w:pPr>
          <w:r>
            <w:rPr>
              <w:rStyle w:val="Platshllartext"/>
            </w:rPr>
            <w:t xml:space="preserve"> </w:t>
          </w:r>
        </w:p>
      </w:docPartBody>
    </w:docPart>
    <w:docPart>
      <w:docPartPr>
        <w:name w:val="292F68F152564BA6ADF0E101E55F989F"/>
        <w:category>
          <w:name w:val="Allmänt"/>
          <w:gallery w:val="placeholder"/>
        </w:category>
        <w:types>
          <w:type w:val="bbPlcHdr"/>
        </w:types>
        <w:behaviors>
          <w:behavior w:val="content"/>
        </w:behaviors>
        <w:guid w:val="{41D2D310-1EE5-46AC-994A-7C1BE658A07C}"/>
      </w:docPartPr>
      <w:docPartBody>
        <w:p w:rsidR="005A6042" w:rsidRDefault="005A6042" w:rsidP="005A6042">
          <w:pPr>
            <w:pStyle w:val="292F68F152564BA6ADF0E101E55F989F"/>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D7"/>
    <w:rsid w:val="00077317"/>
    <w:rsid w:val="00103546"/>
    <w:rsid w:val="001B35A4"/>
    <w:rsid w:val="001D38BA"/>
    <w:rsid w:val="00202A72"/>
    <w:rsid w:val="00235A75"/>
    <w:rsid w:val="00304A57"/>
    <w:rsid w:val="00305101"/>
    <w:rsid w:val="0033271C"/>
    <w:rsid w:val="003A586B"/>
    <w:rsid w:val="004F5341"/>
    <w:rsid w:val="005A6042"/>
    <w:rsid w:val="005C1AE5"/>
    <w:rsid w:val="00642A84"/>
    <w:rsid w:val="006F5D86"/>
    <w:rsid w:val="008016B1"/>
    <w:rsid w:val="008A3B3C"/>
    <w:rsid w:val="008B773F"/>
    <w:rsid w:val="00965F15"/>
    <w:rsid w:val="00A152CE"/>
    <w:rsid w:val="00A7267F"/>
    <w:rsid w:val="00B7254A"/>
    <w:rsid w:val="00B87840"/>
    <w:rsid w:val="00BA66E3"/>
    <w:rsid w:val="00C0449B"/>
    <w:rsid w:val="00C92D7C"/>
    <w:rsid w:val="00CD06F4"/>
    <w:rsid w:val="00CD62D7"/>
    <w:rsid w:val="00D61094"/>
    <w:rsid w:val="00DE4082"/>
    <w:rsid w:val="00E7760D"/>
    <w:rsid w:val="00E8133F"/>
    <w:rsid w:val="00F04189"/>
    <w:rsid w:val="00F96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8DD137996DE4211AC1A736976BBB972">
    <w:name w:val="F8DD137996DE4211AC1A736976BBB972"/>
    <w:rsid w:val="00CD62D7"/>
  </w:style>
  <w:style w:type="character" w:styleId="Platshllartext">
    <w:name w:val="Placeholder Text"/>
    <w:basedOn w:val="Standardstycketeckensnitt"/>
    <w:uiPriority w:val="99"/>
    <w:semiHidden/>
    <w:rsid w:val="005A6042"/>
    <w:rPr>
      <w:noProof w:val="0"/>
      <w:color w:val="808080"/>
    </w:rPr>
  </w:style>
  <w:style w:type="paragraph" w:customStyle="1" w:styleId="13511CF5EEDD4225845E20318E0B4AB61">
    <w:name w:val="13511CF5EEDD4225845E20318E0B4AB61"/>
    <w:rsid w:val="00CD62D7"/>
    <w:pPr>
      <w:tabs>
        <w:tab w:val="center" w:pos="4536"/>
        <w:tab w:val="right" w:pos="9072"/>
      </w:tabs>
      <w:spacing w:after="0" w:line="276" w:lineRule="auto"/>
    </w:pPr>
    <w:rPr>
      <w:rFonts w:asciiTheme="majorHAnsi" w:eastAsiaTheme="minorHAnsi" w:hAnsiTheme="majorHAnsi"/>
      <w:kern w:val="0"/>
      <w:sz w:val="19"/>
      <w:szCs w:val="25"/>
      <w:lang w:eastAsia="en-US"/>
      <w14:ligatures w14:val="none"/>
    </w:rPr>
  </w:style>
  <w:style w:type="paragraph" w:customStyle="1" w:styleId="AE2AE629FF334F46957306153320EE441">
    <w:name w:val="AE2AE629FF334F46957306153320EE441"/>
    <w:rsid w:val="00CD62D7"/>
    <w:pPr>
      <w:tabs>
        <w:tab w:val="center" w:pos="4536"/>
        <w:tab w:val="right" w:pos="9072"/>
      </w:tabs>
      <w:spacing w:after="0" w:line="276" w:lineRule="auto"/>
    </w:pPr>
    <w:rPr>
      <w:rFonts w:asciiTheme="majorHAnsi" w:eastAsiaTheme="minorHAnsi" w:hAnsiTheme="majorHAnsi"/>
      <w:kern w:val="0"/>
      <w:sz w:val="19"/>
      <w:szCs w:val="25"/>
      <w:lang w:eastAsia="en-US"/>
      <w14:ligatures w14:val="none"/>
    </w:rPr>
  </w:style>
  <w:style w:type="paragraph" w:customStyle="1" w:styleId="292F68F152564BA6ADF0E101E55F989F">
    <w:name w:val="292F68F152564BA6ADF0E101E55F989F"/>
    <w:rsid w:val="005A604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irtyMigration xmlns="4e9c2f0c-7bf8-49af-8356-cbf363fc78a7">false</DirtyMigration>
    <RecordNumber xmlns="4e9c2f0c-7bf8-49af-8356-cbf363fc78a7" xsi:nil="true"/>
    <RKNyckelord xmlns="18f3d968-6251-40b0-9f11-012b293496c2" xsi:nil="true"/>
    <edbe0b5c82304c8e847ab7b8c02a77c3 xmlns="cc625d36-bb37-4650-91b9-0c96159295ba">
      <Terms xmlns="http://schemas.microsoft.com/office/infopath/2007/PartnerControls"/>
    </edbe0b5c82304c8e847ab7b8c02a77c3>
    <TaxCatchAll xmlns="cc625d36-bb37-4650-91b9-0c96159295ba"/>
    <k46d94c0acf84ab9a79866a9d8b1905f xmlns="cc625d36-bb37-4650-91b9-0c96159295ba">
      <Terms xmlns="http://schemas.microsoft.com/office/infopath/2007/PartnerControls"/>
    </k46d94c0acf84ab9a79866a9d8b1905f>
    <IconOverlay xmlns="http://schemas.microsoft.com/sharepoint/v4" xsi:nil="true"/>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13979B69B52C234DB30206BE78697F90" ma:contentTypeVersion="68" ma:contentTypeDescription="Skapa nytt dokument med möjlighet att välja RK-mall" ma:contentTypeScope="" ma:versionID="91bb393b88d56fbbfff69c25a538ac88">
  <xsd:schema xmlns:xsd="http://www.w3.org/2001/XMLSchema" xmlns:xs="http://www.w3.org/2001/XMLSchema" xmlns:p="http://schemas.microsoft.com/office/2006/metadata/properties" xmlns:ns2="4e9c2f0c-7bf8-49af-8356-cbf363fc78a7" xmlns:ns3="cc625d36-bb37-4650-91b9-0c96159295ba" xmlns:ns4="18f3d968-6251-40b0-9f11-012b293496c2" xmlns:ns6="http://schemas.microsoft.com/sharepoint/v4" xmlns:ns7="9c9941df-7074-4a92-bf99-225d24d78d61" targetNamespace="http://schemas.microsoft.com/office/2006/metadata/properties" ma:root="true" ma:fieldsID="c588cde82d9d22813a635ddc9180007a" ns2:_="" ns3:_="" ns4:_="" ns6:_="" ns7:_="">
    <xsd:import namespace="4e9c2f0c-7bf8-49af-8356-cbf363fc78a7"/>
    <xsd:import namespace="cc625d36-bb37-4650-91b9-0c96159295ba"/>
    <xsd:import namespace="18f3d968-6251-40b0-9f11-012b293496c2"/>
    <xsd:import namespace="http://schemas.microsoft.com/sharepoint/v4"/>
    <xsd:import namespace="9c9941df-7074-4a92-bf99-225d24d78d61"/>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IconOverlay"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f0b1e351-9478-40ab-b6a2-516bf56f6905}" ma:internalName="TaxCatchAllLabel" ma:readOnly="true" ma:showField="CatchAllDataLabel" ma:web="6702c5a5-0d00-4f63-863b-cabd4d98126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0b1e351-9478-40ab-b6a2-516bf56f6905}" ma:internalName="TaxCatchAll" ma:showField="CatchAllData" ma:web="6702c5a5-0d00-4f63-863b-cabd4d98126e">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xml version="1.0" encoding="iso-8859-1"?>-->
<DocumentInfo xmlns="http://lp/documentinfo/RK">
  <BaseInfo>
    <RkTemplate>2</RkTemplate>
    <DocType>PM</DocType>
    <DocTypeShowName>Bilaga till regeringsbeslut x x</DocTypeShowName>
    <Status> </Status>
    <Sender>
      <SenderName>Inger Wijkström</SenderName>
      <SenderTitle/>
      <SenderMail>inger.wijkstrom@regeringskansliet.se</SenderMail>
      <SenderPhone/>
    </Sender>
    <TopId>1</TopId>
    <TopSender/>
    <OrganisationInfo>
      <Organisatoriskenhet1>Arbetsmarknadsdepartementet</Organisatoriskenhet1>
      <Organisatoriskenhet2>Arbetsmarknadsenheten</Organisatoriskenhet2>
      <Organisatoriskenhet3>Styrning och budget</Organisatoriskenhet3>
      <Organisatoriskenhet1Id>198</Organisatoriskenhet1Id>
      <Organisatoriskenhet2Id>622</Organisatoriskenhet2Id>
      <Organisatoriskenhet3Id>1071</Organisatoriskenhet3Id>
    </OrganisationInfo>
    <HeaderDate>2025-xx-xx</HeaderDate>
    <Office/>
    <Dnr>A2025/0000</Dnr>
    <ParagrafNr/>
    <DocumentTitle/>
    <VisitingAddress/>
    <Extra1>extrainfo för denna mallm</Extra1>
    <Extra2>mer extrainfo</Extra2>
    <Extra3/>
    <Number/>
    <Recipient>Ledamöterna i Övervakningskommittén för det nationella programmet för Europeiska socialfonden+ 2021–2027</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3B4030D-2A57-49B7-A1E9-72B5D5199454}">
  <ds:schemaRefs>
    <ds:schemaRef ds:uri="http://schemas.microsoft.com/sharepoint/events"/>
  </ds:schemaRefs>
</ds:datastoreItem>
</file>

<file path=customXml/itemProps2.xml><?xml version="1.0" encoding="utf-8"?>
<ds:datastoreItem xmlns:ds="http://schemas.openxmlformats.org/officeDocument/2006/customXml" ds:itemID="{B2E86950-BD3C-4D7D-8A7C-5A9F59BFF91C}">
  <ds:schemaRefs>
    <ds:schemaRef ds:uri="http://schemas.microsoft.com/office/2006/metadata/customXsn"/>
  </ds:schemaRefs>
</ds:datastoreItem>
</file>

<file path=customXml/itemProps3.xml><?xml version="1.0" encoding="utf-8"?>
<ds:datastoreItem xmlns:ds="http://schemas.openxmlformats.org/officeDocument/2006/customXml" ds:itemID="{DBF69463-D4E3-4BDF-8CF1-45A74F8F1A4D}">
  <ds:schemaRefs>
    <ds:schemaRef ds:uri="http://schemas.microsoft.com/office/2006/metadata/properties"/>
    <ds:schemaRef ds:uri="http://schemas.microsoft.com/office/infopath/2007/PartnerControls"/>
    <ds:schemaRef ds:uri="4e9c2f0c-7bf8-49af-8356-cbf363fc78a7"/>
    <ds:schemaRef ds:uri="18f3d968-6251-40b0-9f11-012b293496c2"/>
    <ds:schemaRef ds:uri="cc625d36-bb37-4650-91b9-0c96159295ba"/>
    <ds:schemaRef ds:uri="http://schemas.microsoft.com/sharepoint/v4"/>
  </ds:schemaRefs>
</ds:datastoreItem>
</file>

<file path=customXml/itemProps4.xml><?xml version="1.0" encoding="utf-8"?>
<ds:datastoreItem xmlns:ds="http://schemas.openxmlformats.org/officeDocument/2006/customXml" ds:itemID="{16F400CA-DFB0-43A4-9AE8-2876AF00C041}">
  <ds:schemaRefs>
    <ds:schemaRef ds:uri="Microsoft.SharePoint.Taxonomy.ContentTypeSync"/>
  </ds:schemaRefs>
</ds:datastoreItem>
</file>

<file path=customXml/itemProps5.xml><?xml version="1.0" encoding="utf-8"?>
<ds:datastoreItem xmlns:ds="http://schemas.openxmlformats.org/officeDocument/2006/customXml" ds:itemID="{6DD0F859-66DF-40C7-8852-30C239B76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http://schemas.microsoft.com/sharepoint/v4"/>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1DB10B-A5E6-4C65-96E5-05E4B8BDCCEB}">
  <ds:schemaRefs>
    <ds:schemaRef ds:uri="http://schemas.microsoft.com/sharepoint/v3/contenttype/forms"/>
  </ds:schemaRefs>
</ds:datastoreItem>
</file>

<file path=customXml/itemProps7.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8.xml><?xml version="1.0" encoding="utf-8"?>
<ds:datastoreItem xmlns:ds="http://schemas.openxmlformats.org/officeDocument/2006/customXml" ds:itemID="{8A50AC64-2A26-44F5-88E5-B13F36EC6E59}">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24</Pages>
  <Words>7106</Words>
  <Characters>37667</Characters>
  <Application>Microsoft Office Word</Application>
  <DocSecurity>0</DocSecurity>
  <Lines>313</Lines>
  <Paragraphs>89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Wijkström</dc:creator>
  <cp:keywords/>
  <dc:description/>
  <cp:lastModifiedBy>Inger Wijkström</cp:lastModifiedBy>
  <cp:revision>3</cp:revision>
  <cp:lastPrinted>2025-01-30T16:01:00Z</cp:lastPrinted>
  <dcterms:created xsi:type="dcterms:W3CDTF">2025-02-17T12:20:00Z</dcterms:created>
  <dcterms:modified xsi:type="dcterms:W3CDTF">2025-02-17T12:37:00Z</dcterms:modified>
  <cp:version>2.0.3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0x010100BBA312BF02777149882D207184EC35C0320013979B69B52C234DB30206BE78697F90</vt:lpwstr>
  </property>
  <property fmtid="{D5CDD505-2E9C-101B-9397-08002B2CF9AE}" pid="3" name="TaxKeyword">
    <vt:lpwstr/>
  </property>
  <property fmtid="{D5CDD505-2E9C-101B-9397-08002B2CF9AE}" pid="4" name="Organisation">
    <vt:lpwstr/>
  </property>
  <property fmtid="{D5CDD505-2E9C-101B-9397-08002B2CF9AE}" pid="5" name="ActivityCategory">
    <vt:lpwstr/>
  </property>
  <property fmtid="{D5CDD505-2E9C-101B-9397-08002B2CF9AE}" pid="6" name="TaxKeywordTaxHTField">
    <vt:lpwstr/>
  </property>
  <property fmtid="{D5CDD505-2E9C-101B-9397-08002B2CF9AE}" pid="7" name="Ribbon">
    <vt:lpwstr>PM</vt:lpwstr>
  </property>
  <property fmtid="{D5CDD505-2E9C-101B-9397-08002B2CF9AE}" pid="8" name="ShowStyleSet">
    <vt:lpwstr>RKStyleSet</vt:lpwstr>
  </property>
  <property fmtid="{D5CDD505-2E9C-101B-9397-08002B2CF9AE}" pid="9" name="_dlc_DocId">
    <vt:lpwstr>PVVC7NFJTUQE-1551738204-91909</vt:lpwstr>
  </property>
  <property fmtid="{D5CDD505-2E9C-101B-9397-08002B2CF9AE}" pid="10" name="_dlc_DocIdUrl">
    <vt:lpwstr>https://dhs.sp.regeringskansliet.se/yta/a-a/_layouts/15/DocIdRedir.aspx?ID=PVVC7NFJTUQE-1551738204-91909, PVVC7NFJTUQE-1551738204-91909</vt:lpwstr>
  </property>
  <property fmtid="{D5CDD505-2E9C-101B-9397-08002B2CF9AE}" pid="11" name="_dlc_DocIdItemGuid">
    <vt:lpwstr>f68e447c-1da5-48e0-8da8-8d81db646aec</vt:lpwstr>
  </property>
</Properties>
</file>