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39F3" w14:textId="43B531E6" w:rsidR="00220C28" w:rsidRPr="00F45EC8" w:rsidRDefault="00220C28" w:rsidP="00220C28">
      <w:pPr>
        <w:pStyle w:val="Rubrik1"/>
      </w:pPr>
      <w:r>
        <w:t xml:space="preserve">Övervakningskommitténs roll och uppgifter ESF+ </w:t>
      </w:r>
      <w:r>
        <w:t>2021–2027</w:t>
      </w:r>
    </w:p>
    <w:p w14:paraId="5DAFFE21" w14:textId="77777777" w:rsidR="00220C28" w:rsidRDefault="00220C28" w:rsidP="00220C28">
      <w:pPr>
        <w:rPr>
          <w:rFonts w:cs="Arial"/>
          <w:iCs/>
          <w:spacing w:val="-6"/>
          <w:szCs w:val="18"/>
        </w:rPr>
      </w:pPr>
    </w:p>
    <w:p w14:paraId="5A39BFEA" w14:textId="7C26203F" w:rsidR="00220C28" w:rsidRPr="00BD554E" w:rsidRDefault="00220C28" w:rsidP="00220C28">
      <w:pPr>
        <w:rPr>
          <w:rFonts w:cs="Arial"/>
          <w:iCs/>
          <w:spacing w:val="-6"/>
          <w:szCs w:val="18"/>
        </w:rPr>
      </w:pPr>
      <w:r w:rsidRPr="00BD554E">
        <w:rPr>
          <w:rFonts w:cs="Arial"/>
          <w:iCs/>
          <w:spacing w:val="-6"/>
          <w:szCs w:val="18"/>
        </w:rPr>
        <w:t xml:space="preserve">En övervakningskommitté inrättas bestående av företrädare för myndigheter, näringslivet och arbetsmarknadens parter samt relevanta organ som företräder civilsamhället, såsom miljöorganisationer, icke statliga organisationer samt organisationer som ansvarar för främjande av social inkludering, grundläggande rättigheter, rättigheter för personer med funktionsnedsättning, jämställdhet och icke-diskriminering och i tillämpliga fall forskningsorganisationer och universitet. Kommissionens företrädare ska delta i övervakningskommitténs arbete i egenskap av övervakare och rådgivare. Övervakningskommitténs uppgifter är </w:t>
      </w:r>
      <w:proofErr w:type="gramStart"/>
      <w:r w:rsidRPr="00BD554E">
        <w:rPr>
          <w:rFonts w:cs="Arial"/>
          <w:iCs/>
          <w:spacing w:val="-6"/>
          <w:szCs w:val="18"/>
        </w:rPr>
        <w:t>bl.a.</w:t>
      </w:r>
      <w:proofErr w:type="gramEnd"/>
      <w:r w:rsidRPr="00BD554E">
        <w:rPr>
          <w:rFonts w:cs="Arial"/>
          <w:iCs/>
          <w:spacing w:val="-6"/>
          <w:szCs w:val="18"/>
        </w:rPr>
        <w:t xml:space="preserve"> att granska framstegen med att genomföra programmet och att uppnå målen.</w:t>
      </w:r>
    </w:p>
    <w:p w14:paraId="15F2A9BE" w14:textId="77777777" w:rsidR="00220C28" w:rsidRPr="00BD554E" w:rsidRDefault="00220C28" w:rsidP="00220C28">
      <w:pPr>
        <w:rPr>
          <w:rFonts w:cs="Arial"/>
          <w:iCs/>
          <w:spacing w:val="-6"/>
          <w:szCs w:val="18"/>
        </w:rPr>
      </w:pPr>
      <w:r w:rsidRPr="00BD554E">
        <w:rPr>
          <w:rFonts w:cs="Arial"/>
          <w:iCs/>
          <w:spacing w:val="-6"/>
          <w:szCs w:val="18"/>
        </w:rPr>
        <w:t>Övervakningskommitténs roll och </w:t>
      </w:r>
      <w:hyperlink r:id="rId8" w:tgtFrame="_blank" w:history="1">
        <w:r w:rsidRPr="00BD554E">
          <w:rPr>
            <w:rFonts w:cs="Arial"/>
            <w:iCs/>
            <w:spacing w:val="-6"/>
            <w:szCs w:val="18"/>
          </w:rPr>
          <w:t>uppgifter</w:t>
        </w:r>
      </w:hyperlink>
      <w:r w:rsidRPr="00BD554E">
        <w:rPr>
          <w:rFonts w:cs="Arial"/>
          <w:iCs/>
          <w:spacing w:val="-6"/>
          <w:szCs w:val="18"/>
        </w:rPr>
        <w:t xml:space="preserve"> regleras av förordning (EU) 2021/1060, samt det nationella socialfondsprogrammet. ÖK beslutar om arbetsordning som </w:t>
      </w:r>
      <w:proofErr w:type="gramStart"/>
      <w:r w:rsidRPr="00BD554E">
        <w:rPr>
          <w:rFonts w:cs="Arial"/>
          <w:iCs/>
          <w:spacing w:val="-6"/>
          <w:szCs w:val="18"/>
        </w:rPr>
        <w:t>styr kommitténs</w:t>
      </w:r>
      <w:proofErr w:type="gramEnd"/>
      <w:r w:rsidRPr="00BD554E">
        <w:rPr>
          <w:rFonts w:cs="Arial"/>
          <w:iCs/>
          <w:spacing w:val="-6"/>
          <w:szCs w:val="18"/>
        </w:rPr>
        <w:t xml:space="preserve"> beslutsförfaranden, mötesformalia, med mera. </w:t>
      </w:r>
    </w:p>
    <w:p w14:paraId="1966A97B" w14:textId="77777777" w:rsidR="00220C28" w:rsidRPr="00654A4D" w:rsidRDefault="00220C28" w:rsidP="00220C28">
      <w:pPr>
        <w:rPr>
          <w:rFonts w:cs="Arial"/>
          <w:b/>
          <w:bCs/>
          <w:iCs/>
          <w:spacing w:val="-6"/>
          <w:szCs w:val="18"/>
        </w:rPr>
      </w:pPr>
    </w:p>
    <w:p w14:paraId="674CA762" w14:textId="77777777" w:rsidR="00220C28" w:rsidRPr="00E075C7" w:rsidRDefault="00220C28" w:rsidP="00220C28">
      <w:pPr>
        <w:rPr>
          <w:rFonts w:cs="Arial"/>
          <w:b/>
          <w:bCs/>
          <w:iCs/>
          <w:spacing w:val="-6"/>
          <w:szCs w:val="18"/>
        </w:rPr>
      </w:pPr>
      <w:r w:rsidRPr="00E075C7">
        <w:rPr>
          <w:rFonts w:cs="Arial"/>
          <w:b/>
          <w:bCs/>
          <w:iCs/>
          <w:spacing w:val="-6"/>
          <w:szCs w:val="18"/>
        </w:rPr>
        <w:t xml:space="preserve">ÖVERVAKNING, UTVÄRDERING, KOMMUNIKATION OCH SYNLIGHET </w:t>
      </w:r>
    </w:p>
    <w:p w14:paraId="5AA8CE46" w14:textId="77777777" w:rsidR="00220C28" w:rsidRPr="00654A4D" w:rsidRDefault="00220C28" w:rsidP="00220C28">
      <w:pPr>
        <w:rPr>
          <w:rFonts w:cs="Arial"/>
          <w:b/>
          <w:bCs/>
          <w:iCs/>
          <w:spacing w:val="-6"/>
          <w:szCs w:val="18"/>
        </w:rPr>
      </w:pPr>
      <w:r w:rsidRPr="00654A4D">
        <w:rPr>
          <w:rFonts w:cs="Arial"/>
          <w:b/>
          <w:bCs/>
          <w:iCs/>
          <w:spacing w:val="-6"/>
          <w:szCs w:val="18"/>
        </w:rPr>
        <w:t xml:space="preserve">KAPITEL I </w:t>
      </w:r>
    </w:p>
    <w:p w14:paraId="7790D9D4" w14:textId="77777777" w:rsidR="001E5D1D" w:rsidRDefault="00220C28" w:rsidP="00220C28">
      <w:pPr>
        <w:rPr>
          <w:rFonts w:cs="Arial"/>
          <w:b/>
          <w:bCs/>
          <w:iCs/>
          <w:spacing w:val="-6"/>
          <w:szCs w:val="18"/>
        </w:rPr>
      </w:pPr>
      <w:r w:rsidRPr="00654A4D">
        <w:rPr>
          <w:rFonts w:cs="Arial"/>
          <w:b/>
          <w:bCs/>
          <w:iCs/>
          <w:spacing w:val="-6"/>
          <w:szCs w:val="18"/>
        </w:rPr>
        <w:t xml:space="preserve">Övervakning </w:t>
      </w:r>
    </w:p>
    <w:p w14:paraId="2D4B3C99" w14:textId="57BC8D98" w:rsidR="00220C28" w:rsidRDefault="00220C28" w:rsidP="00220C28">
      <w:pPr>
        <w:rPr>
          <w:rFonts w:cs="Arial"/>
          <w:b/>
          <w:bCs/>
          <w:iCs/>
          <w:spacing w:val="-6"/>
          <w:szCs w:val="18"/>
        </w:rPr>
      </w:pPr>
      <w:r w:rsidRPr="00654A4D">
        <w:rPr>
          <w:rFonts w:cs="Arial"/>
          <w:b/>
          <w:bCs/>
          <w:iCs/>
          <w:spacing w:val="-6"/>
          <w:szCs w:val="18"/>
        </w:rPr>
        <w:t xml:space="preserve">Artikel 38 </w:t>
      </w:r>
    </w:p>
    <w:p w14:paraId="235E066E" w14:textId="77777777" w:rsidR="00220C28" w:rsidRDefault="00220C28" w:rsidP="00220C28">
      <w:pPr>
        <w:rPr>
          <w:rFonts w:cs="Arial"/>
          <w:b/>
          <w:bCs/>
          <w:iCs/>
          <w:spacing w:val="-6"/>
          <w:szCs w:val="18"/>
        </w:rPr>
      </w:pPr>
      <w:r w:rsidRPr="00654A4D">
        <w:rPr>
          <w:rFonts w:cs="Arial"/>
          <w:b/>
          <w:bCs/>
          <w:iCs/>
          <w:spacing w:val="-6"/>
          <w:szCs w:val="18"/>
        </w:rPr>
        <w:t xml:space="preserve">Övervakningskommitté </w:t>
      </w:r>
    </w:p>
    <w:p w14:paraId="74E68CDB" w14:textId="77777777" w:rsidR="00220C28" w:rsidRPr="00BD554E" w:rsidRDefault="00220C28" w:rsidP="00220C28">
      <w:pPr>
        <w:rPr>
          <w:rFonts w:cs="Arial"/>
          <w:iCs/>
          <w:spacing w:val="-6"/>
          <w:szCs w:val="18"/>
        </w:rPr>
      </w:pPr>
      <w:r>
        <w:t>1</w:t>
      </w:r>
      <w:r w:rsidRPr="00BD554E">
        <w:rPr>
          <w:rFonts w:cs="Arial"/>
          <w:iCs/>
          <w:spacing w:val="-6"/>
          <w:szCs w:val="18"/>
        </w:rPr>
        <w:t>. Varje medlemsstat ska inrätta en kommitté som ska övervaka genomförandet av programmet (övervakningskommittén), efter samråd med förvaltningsmyndigheten, inom tre månader efter det att den berörda medlemsstaten underrättats om beslutet om godkännande av programmet. Medlemsstaten får inrätta en enda övervakningskommitté som ska omfatta fler än ett program.</w:t>
      </w:r>
    </w:p>
    <w:p w14:paraId="362A1225" w14:textId="77777777" w:rsidR="00220C28" w:rsidRPr="00BD554E" w:rsidRDefault="00220C28" w:rsidP="00220C28">
      <w:pPr>
        <w:rPr>
          <w:rFonts w:cs="Arial"/>
          <w:iCs/>
          <w:spacing w:val="-6"/>
          <w:szCs w:val="18"/>
        </w:rPr>
      </w:pPr>
      <w:r w:rsidRPr="00BD554E">
        <w:rPr>
          <w:rFonts w:cs="Arial"/>
          <w:iCs/>
          <w:spacing w:val="-6"/>
          <w:szCs w:val="18"/>
        </w:rPr>
        <w:t xml:space="preserve">2. Varje övervakningskommitté ska själv anta sin arbetsordning, inbegripet bestämmelser om förebyggande av intressekonflikter och tillämpning av principen om öppenhet. </w:t>
      </w:r>
    </w:p>
    <w:p w14:paraId="2F2D994E" w14:textId="77777777" w:rsidR="00220C28" w:rsidRPr="00BD554E" w:rsidRDefault="00220C28" w:rsidP="00220C28">
      <w:pPr>
        <w:rPr>
          <w:rFonts w:cs="Arial"/>
          <w:iCs/>
          <w:spacing w:val="-6"/>
          <w:szCs w:val="18"/>
        </w:rPr>
      </w:pPr>
      <w:r w:rsidRPr="00BD554E">
        <w:rPr>
          <w:rFonts w:cs="Arial"/>
          <w:iCs/>
          <w:spacing w:val="-6"/>
          <w:szCs w:val="18"/>
        </w:rPr>
        <w:t xml:space="preserve">3. Övervakningskommittén ska sammanträda minst en gång om året och ska granska alla frågor som påverkar programmets framsteg med uppnåendet av dess mål. </w:t>
      </w:r>
    </w:p>
    <w:p w14:paraId="7172C794" w14:textId="77777777" w:rsidR="00220C28" w:rsidRPr="00BD554E" w:rsidRDefault="00220C28" w:rsidP="00220C28">
      <w:pPr>
        <w:rPr>
          <w:rFonts w:cs="Arial"/>
          <w:iCs/>
          <w:spacing w:val="-6"/>
          <w:szCs w:val="18"/>
        </w:rPr>
      </w:pPr>
      <w:r w:rsidRPr="00BD554E">
        <w:rPr>
          <w:rFonts w:cs="Arial"/>
          <w:iCs/>
          <w:spacing w:val="-6"/>
          <w:szCs w:val="18"/>
        </w:rPr>
        <w:t xml:space="preserve">4. Övervakningskommitténs arbetsordning och de uppgifter och den information som delats med övervakningskommittén ska offentliggöras på den webbplats som avses i artikel 49.1, utan att det påverkar tillämpningen av artikel 69.5. </w:t>
      </w:r>
    </w:p>
    <w:p w14:paraId="5B5F7B97" w14:textId="77777777" w:rsidR="00220C28" w:rsidRPr="00BD554E" w:rsidRDefault="00220C28" w:rsidP="00220C28">
      <w:pPr>
        <w:rPr>
          <w:rFonts w:cs="Arial"/>
          <w:iCs/>
          <w:spacing w:val="-6"/>
          <w:szCs w:val="18"/>
        </w:rPr>
      </w:pPr>
    </w:p>
    <w:p w14:paraId="79152F63" w14:textId="77777777" w:rsidR="00220C28" w:rsidRPr="00BD554E" w:rsidRDefault="00220C28" w:rsidP="00220C28">
      <w:pPr>
        <w:rPr>
          <w:rFonts w:cs="Arial"/>
          <w:iCs/>
          <w:spacing w:val="-6"/>
          <w:szCs w:val="18"/>
        </w:rPr>
      </w:pPr>
      <w:r w:rsidRPr="00BD554E">
        <w:rPr>
          <w:rFonts w:cs="Arial"/>
          <w:iCs/>
          <w:spacing w:val="-6"/>
          <w:szCs w:val="18"/>
        </w:rPr>
        <w:lastRenderedPageBreak/>
        <w:t xml:space="preserve">5. Punkterna 1–4 i denna artikel ska inte gälla för program som är begränsade till det specifika mål som anges i artikel </w:t>
      </w:r>
      <w:proofErr w:type="gramStart"/>
      <w:r w:rsidRPr="00BD554E">
        <w:rPr>
          <w:rFonts w:cs="Arial"/>
          <w:iCs/>
          <w:spacing w:val="-6"/>
          <w:szCs w:val="18"/>
        </w:rPr>
        <w:t>4.1</w:t>
      </w:r>
      <w:proofErr w:type="gramEnd"/>
      <w:r w:rsidRPr="00BD554E">
        <w:rPr>
          <w:rFonts w:cs="Arial"/>
          <w:iCs/>
          <w:spacing w:val="-6"/>
          <w:szCs w:val="18"/>
        </w:rPr>
        <w:t xml:space="preserve"> m i ESF+-förordningen och därmed sammanhängande tekniskt bistånd</w:t>
      </w:r>
    </w:p>
    <w:p w14:paraId="59F02378" w14:textId="77777777" w:rsidR="00220C28" w:rsidRDefault="00220C28" w:rsidP="00220C28">
      <w:pPr>
        <w:rPr>
          <w:rFonts w:cs="Arial"/>
          <w:b/>
          <w:bCs/>
          <w:iCs/>
          <w:spacing w:val="-6"/>
          <w:szCs w:val="18"/>
        </w:rPr>
      </w:pPr>
    </w:p>
    <w:p w14:paraId="6C8DAB3A" w14:textId="77777777" w:rsidR="00220C28" w:rsidRPr="00E075C7" w:rsidRDefault="00220C28" w:rsidP="00220C28">
      <w:pPr>
        <w:rPr>
          <w:rFonts w:cstheme="minorHAnsi"/>
          <w:b/>
          <w:bCs/>
          <w:color w:val="000000"/>
          <w:szCs w:val="18"/>
        </w:rPr>
      </w:pPr>
      <w:r w:rsidRPr="00E075C7">
        <w:rPr>
          <w:rFonts w:cstheme="minorHAnsi"/>
          <w:b/>
          <w:bCs/>
          <w:color w:val="000000"/>
          <w:szCs w:val="18"/>
        </w:rPr>
        <w:t xml:space="preserve">Artikel 39 </w:t>
      </w:r>
    </w:p>
    <w:p w14:paraId="11EEBAD9" w14:textId="77777777" w:rsidR="00220C28" w:rsidRPr="00BD554E" w:rsidRDefault="00220C28" w:rsidP="00220C28">
      <w:pPr>
        <w:rPr>
          <w:rFonts w:cstheme="minorHAnsi"/>
          <w:b/>
          <w:bCs/>
          <w:color w:val="000000"/>
          <w:szCs w:val="18"/>
        </w:rPr>
      </w:pPr>
      <w:r w:rsidRPr="00BD554E">
        <w:rPr>
          <w:rFonts w:cstheme="minorHAnsi"/>
          <w:b/>
          <w:bCs/>
          <w:color w:val="000000"/>
          <w:szCs w:val="18"/>
        </w:rPr>
        <w:t>Övervakningskommitténs sammansättning</w:t>
      </w:r>
    </w:p>
    <w:p w14:paraId="49AC54FA" w14:textId="60D3480E" w:rsidR="00220C28" w:rsidRPr="00BD554E" w:rsidRDefault="00220C28" w:rsidP="00220C28">
      <w:pPr>
        <w:rPr>
          <w:rFonts w:cs="Arial"/>
          <w:iCs/>
          <w:spacing w:val="-6"/>
          <w:szCs w:val="18"/>
        </w:rPr>
      </w:pPr>
      <w:r>
        <w:rPr>
          <w:rFonts w:cs="Arial"/>
          <w:iCs/>
          <w:spacing w:val="-6"/>
          <w:szCs w:val="18"/>
        </w:rPr>
        <w:t xml:space="preserve">1. </w:t>
      </w:r>
      <w:r w:rsidRPr="00BD554E">
        <w:rPr>
          <w:rFonts w:cs="Arial"/>
          <w:iCs/>
          <w:spacing w:val="-6"/>
          <w:szCs w:val="18"/>
        </w:rPr>
        <w:t xml:space="preserve">Varje medlemsstat ska fastställa övervakningskommitténs sammansättning och ska genom en öppen process säkerställa en balanserad representation av medlemsstatens berörda myndigheter och förmedlande organ och av företrädare för de partner som avses i artikel 8.1. </w:t>
      </w:r>
    </w:p>
    <w:p w14:paraId="7344CCDD" w14:textId="77777777" w:rsidR="00220C28" w:rsidRPr="00BD554E" w:rsidRDefault="00220C28" w:rsidP="00220C28">
      <w:pPr>
        <w:rPr>
          <w:rFonts w:cs="Arial"/>
          <w:iCs/>
          <w:spacing w:val="-6"/>
          <w:szCs w:val="18"/>
        </w:rPr>
      </w:pPr>
      <w:r w:rsidRPr="00BD554E">
        <w:rPr>
          <w:rFonts w:cs="Arial"/>
          <w:iCs/>
          <w:spacing w:val="-6"/>
          <w:szCs w:val="18"/>
        </w:rPr>
        <w:t xml:space="preserve">Varje medlem av övervakningskommittén ska ha en röst. Arbetsordningen ska reglera utövandet av rösträtten och de närmare bestämmelserna om förfarandet i övervakningskommittén, i enlighet med den berörda medlemsstatens institutionella, rättsliga och finansiella ram. </w:t>
      </w:r>
    </w:p>
    <w:p w14:paraId="525C4616" w14:textId="77777777" w:rsidR="00220C28" w:rsidRPr="00BD554E" w:rsidRDefault="00220C28" w:rsidP="00220C28">
      <w:pPr>
        <w:rPr>
          <w:rFonts w:cs="Arial"/>
          <w:iCs/>
          <w:spacing w:val="-6"/>
          <w:szCs w:val="18"/>
        </w:rPr>
      </w:pPr>
      <w:r w:rsidRPr="00BD554E">
        <w:rPr>
          <w:rFonts w:cs="Arial"/>
          <w:iCs/>
          <w:spacing w:val="-6"/>
          <w:szCs w:val="18"/>
        </w:rPr>
        <w:t xml:space="preserve">Arbetsordningen får ge möjlighet för icke-medlemmar, däribland EIB, att delta i övervakningskommitténs arbete. </w:t>
      </w:r>
    </w:p>
    <w:p w14:paraId="59EB4113" w14:textId="77777777" w:rsidR="00220C28" w:rsidRDefault="00220C28" w:rsidP="00220C28">
      <w:pPr>
        <w:rPr>
          <w:rFonts w:cs="Arial"/>
          <w:iCs/>
          <w:spacing w:val="-6"/>
          <w:szCs w:val="18"/>
        </w:rPr>
      </w:pPr>
      <w:r w:rsidRPr="00BD554E">
        <w:rPr>
          <w:rFonts w:cs="Arial"/>
          <w:iCs/>
          <w:spacing w:val="-6"/>
          <w:szCs w:val="18"/>
        </w:rPr>
        <w:t xml:space="preserve">Övervakningskommitténs ordförande ska vara en företrädare för medlemsstaten eller den förvaltande myndigheten. </w:t>
      </w:r>
    </w:p>
    <w:p w14:paraId="312C6399" w14:textId="77777777" w:rsidR="00220C28" w:rsidRPr="00BD554E" w:rsidRDefault="00220C28" w:rsidP="00220C28">
      <w:pPr>
        <w:rPr>
          <w:rFonts w:cs="Arial"/>
          <w:iCs/>
          <w:spacing w:val="-6"/>
          <w:szCs w:val="18"/>
        </w:rPr>
      </w:pPr>
      <w:r w:rsidRPr="00BD554E">
        <w:rPr>
          <w:rFonts w:cs="Arial"/>
          <w:iCs/>
          <w:spacing w:val="-6"/>
          <w:szCs w:val="18"/>
        </w:rPr>
        <w:t xml:space="preserve">Förteckningen över övervakningskommitténs medlemmar ska offentliggöras på den webbplats som avses i artikel 49.1. </w:t>
      </w:r>
    </w:p>
    <w:p w14:paraId="04240C15" w14:textId="77777777" w:rsidR="00220C28" w:rsidRDefault="00220C28" w:rsidP="00220C28">
      <w:pPr>
        <w:rPr>
          <w:rFonts w:cs="Arial"/>
          <w:iCs/>
          <w:spacing w:val="-6"/>
          <w:szCs w:val="18"/>
        </w:rPr>
      </w:pPr>
      <w:r w:rsidRPr="00BD554E">
        <w:rPr>
          <w:rFonts w:cs="Arial"/>
          <w:iCs/>
          <w:spacing w:val="-6"/>
          <w:szCs w:val="18"/>
        </w:rPr>
        <w:t xml:space="preserve">2. Kommissionens företrädare ska delta i övervakningskommitténs arbete i egenskap av övervakare och rådgivare. 3. För </w:t>
      </w:r>
      <w:proofErr w:type="spellStart"/>
      <w:r w:rsidRPr="00BD554E">
        <w:rPr>
          <w:rFonts w:cs="Arial"/>
          <w:iCs/>
          <w:spacing w:val="-6"/>
          <w:szCs w:val="18"/>
        </w:rPr>
        <w:t>Amif</w:t>
      </w:r>
      <w:proofErr w:type="spellEnd"/>
      <w:r w:rsidRPr="00BD554E">
        <w:rPr>
          <w:rFonts w:cs="Arial"/>
          <w:iCs/>
          <w:spacing w:val="-6"/>
          <w:szCs w:val="18"/>
        </w:rPr>
        <w:t>, Fonden för</w:t>
      </w:r>
      <w:r w:rsidRPr="00BD554E">
        <w:t xml:space="preserve"> </w:t>
      </w:r>
      <w:r w:rsidRPr="00BD554E">
        <w:rPr>
          <w:rFonts w:cs="Arial"/>
          <w:iCs/>
          <w:spacing w:val="-6"/>
          <w:szCs w:val="18"/>
        </w:rPr>
        <w:t>inre säkerhet och instrumentet för ekonomiskt</w:t>
      </w:r>
      <w:r w:rsidRPr="00BD554E">
        <w:t xml:space="preserve"> </w:t>
      </w:r>
      <w:r w:rsidRPr="00BD554E">
        <w:rPr>
          <w:rFonts w:cs="Arial"/>
          <w:iCs/>
          <w:spacing w:val="-6"/>
          <w:szCs w:val="18"/>
        </w:rPr>
        <w:t>stöd för</w:t>
      </w:r>
      <w:r w:rsidRPr="00BD554E">
        <w:t xml:space="preserve"> </w:t>
      </w:r>
      <w:r w:rsidRPr="00BD554E">
        <w:rPr>
          <w:rFonts w:cs="Arial"/>
          <w:iCs/>
          <w:spacing w:val="-6"/>
          <w:szCs w:val="18"/>
        </w:rPr>
        <w:t>gränsförvaltning och viseringspolitik får relevanta decentraliserade byråer delta i övervakningskommitténs arbete.</w:t>
      </w:r>
    </w:p>
    <w:p w14:paraId="1CD5CB9A" w14:textId="77777777" w:rsidR="00220C28" w:rsidRDefault="00220C28" w:rsidP="00220C28">
      <w:pPr>
        <w:rPr>
          <w:b/>
          <w:bCs/>
          <w:szCs w:val="18"/>
        </w:rPr>
      </w:pPr>
    </w:p>
    <w:p w14:paraId="50F0921C" w14:textId="77777777" w:rsidR="00220C28" w:rsidRPr="00BD554E" w:rsidRDefault="00220C28" w:rsidP="00220C28">
      <w:pPr>
        <w:rPr>
          <w:b/>
          <w:bCs/>
          <w:szCs w:val="18"/>
        </w:rPr>
      </w:pPr>
      <w:r w:rsidRPr="00BD554E">
        <w:rPr>
          <w:b/>
          <w:bCs/>
          <w:szCs w:val="18"/>
        </w:rPr>
        <w:t>Artikel 40</w:t>
      </w:r>
    </w:p>
    <w:p w14:paraId="38221ABB" w14:textId="77777777" w:rsidR="00220C28" w:rsidRDefault="00220C28" w:rsidP="00220C28">
      <w:pPr>
        <w:rPr>
          <w:b/>
          <w:bCs/>
          <w:szCs w:val="18"/>
        </w:rPr>
      </w:pPr>
      <w:r w:rsidRPr="00BD554E">
        <w:rPr>
          <w:b/>
          <w:bCs/>
          <w:szCs w:val="18"/>
        </w:rPr>
        <w:t>Övervakningskommitténs uppgifter</w:t>
      </w:r>
    </w:p>
    <w:p w14:paraId="31691B58" w14:textId="72EEA139" w:rsidR="00220C28" w:rsidRDefault="00220C28" w:rsidP="00220C28">
      <w:pPr>
        <w:rPr>
          <w:rFonts w:cs="Arial"/>
          <w:iCs/>
          <w:spacing w:val="-6"/>
          <w:szCs w:val="18"/>
        </w:rPr>
      </w:pPr>
      <w:r>
        <w:rPr>
          <w:rFonts w:cs="Arial"/>
          <w:iCs/>
          <w:spacing w:val="-6"/>
          <w:szCs w:val="18"/>
        </w:rPr>
        <w:t>1-Övervakningskommittén</w:t>
      </w:r>
      <w:r w:rsidRPr="00710309">
        <w:rPr>
          <w:rFonts w:cs="Arial"/>
          <w:iCs/>
          <w:spacing w:val="-6"/>
          <w:szCs w:val="18"/>
        </w:rPr>
        <w:t xml:space="preserve"> ska granska </w:t>
      </w:r>
    </w:p>
    <w:p w14:paraId="56787C65" w14:textId="77777777" w:rsidR="00220C28" w:rsidRDefault="00220C28" w:rsidP="00220C28">
      <w:pPr>
        <w:rPr>
          <w:rFonts w:cs="Arial"/>
          <w:iCs/>
          <w:spacing w:val="-6"/>
          <w:szCs w:val="18"/>
        </w:rPr>
      </w:pPr>
      <w:r w:rsidRPr="00710309">
        <w:rPr>
          <w:rFonts w:cs="Arial"/>
          <w:iCs/>
          <w:spacing w:val="-6"/>
          <w:szCs w:val="18"/>
        </w:rPr>
        <w:t xml:space="preserve">a) framstegen med att genomföra programmet och uppnå delmålen och målen, 30.6.2021 SV Europeiska unionens officiella tidning L 231/207 </w:t>
      </w:r>
    </w:p>
    <w:p w14:paraId="76B3E844" w14:textId="77777777" w:rsidR="00220C28" w:rsidRDefault="00220C28" w:rsidP="00220C28">
      <w:pPr>
        <w:rPr>
          <w:rFonts w:cs="Arial"/>
          <w:iCs/>
          <w:spacing w:val="-6"/>
          <w:szCs w:val="18"/>
        </w:rPr>
      </w:pPr>
      <w:r w:rsidRPr="00710309">
        <w:rPr>
          <w:rFonts w:cs="Arial"/>
          <w:iCs/>
          <w:spacing w:val="-6"/>
          <w:szCs w:val="18"/>
        </w:rPr>
        <w:t xml:space="preserve">b) eventuella problem som påverkar programmets prestation och de åtgärder som vidtagits för att lösa dem, </w:t>
      </w:r>
    </w:p>
    <w:p w14:paraId="00F4B1A7" w14:textId="77777777" w:rsidR="00220C28" w:rsidRDefault="00220C28" w:rsidP="00220C28">
      <w:pPr>
        <w:rPr>
          <w:rFonts w:cs="Arial"/>
          <w:iCs/>
          <w:spacing w:val="-6"/>
          <w:szCs w:val="18"/>
        </w:rPr>
      </w:pPr>
      <w:r w:rsidRPr="00710309">
        <w:rPr>
          <w:rFonts w:cs="Arial"/>
          <w:iCs/>
          <w:spacing w:val="-6"/>
          <w:szCs w:val="18"/>
        </w:rPr>
        <w:t xml:space="preserve">c) i förekommande fall, programmets bidrag till hanteringen av de utmaningar som identifieras i relevanta </w:t>
      </w:r>
      <w:proofErr w:type="spellStart"/>
      <w:r w:rsidRPr="00710309">
        <w:rPr>
          <w:rFonts w:cs="Arial"/>
          <w:iCs/>
          <w:spacing w:val="-6"/>
          <w:szCs w:val="18"/>
        </w:rPr>
        <w:t>landsspecifika</w:t>
      </w:r>
      <w:proofErr w:type="spellEnd"/>
      <w:r w:rsidRPr="00710309">
        <w:rPr>
          <w:rFonts w:cs="Arial"/>
          <w:iCs/>
          <w:spacing w:val="-6"/>
          <w:szCs w:val="18"/>
        </w:rPr>
        <w:t xml:space="preserve"> rekommendationer som är kopplade till programmets genomförande, </w:t>
      </w:r>
    </w:p>
    <w:p w14:paraId="08375C38" w14:textId="77777777" w:rsidR="00220C28" w:rsidRDefault="00220C28" w:rsidP="00220C28">
      <w:pPr>
        <w:rPr>
          <w:rFonts w:cs="Arial"/>
          <w:iCs/>
          <w:spacing w:val="-6"/>
          <w:szCs w:val="18"/>
        </w:rPr>
      </w:pPr>
      <w:r w:rsidRPr="00710309">
        <w:rPr>
          <w:rFonts w:cs="Arial"/>
          <w:iCs/>
          <w:spacing w:val="-6"/>
          <w:szCs w:val="18"/>
        </w:rPr>
        <w:t xml:space="preserve">d) de aspekter av förhandsbedömningen som förtecknas i artikel 58.3 och det strategidokument som avses i artikel 59.1, </w:t>
      </w:r>
    </w:p>
    <w:p w14:paraId="0BF5E632" w14:textId="77777777" w:rsidR="00220C28" w:rsidRDefault="00220C28" w:rsidP="00220C28">
      <w:pPr>
        <w:rPr>
          <w:rFonts w:cs="Arial"/>
          <w:iCs/>
          <w:spacing w:val="-6"/>
          <w:szCs w:val="18"/>
        </w:rPr>
      </w:pPr>
      <w:r w:rsidRPr="00710309">
        <w:rPr>
          <w:rFonts w:cs="Arial"/>
          <w:iCs/>
          <w:spacing w:val="-6"/>
          <w:szCs w:val="18"/>
        </w:rPr>
        <w:t xml:space="preserve">e) framstegen med att genomföra utvärderingar, sammanfatta utvärderingarna och följa upp resultaten, </w:t>
      </w:r>
    </w:p>
    <w:p w14:paraId="7833B8AC" w14:textId="77777777" w:rsidR="00220C28" w:rsidRDefault="00220C28" w:rsidP="00220C28">
      <w:pPr>
        <w:rPr>
          <w:rFonts w:cs="Arial"/>
          <w:iCs/>
          <w:spacing w:val="-6"/>
          <w:szCs w:val="18"/>
        </w:rPr>
      </w:pPr>
      <w:r w:rsidRPr="00710309">
        <w:rPr>
          <w:rFonts w:cs="Arial"/>
          <w:iCs/>
          <w:spacing w:val="-6"/>
          <w:szCs w:val="18"/>
        </w:rPr>
        <w:t>f) genomförandet av kommunikations- och synlighetsåtgärder,</w:t>
      </w:r>
    </w:p>
    <w:p w14:paraId="0EF83000" w14:textId="77777777" w:rsidR="00220C28" w:rsidRDefault="00220C28" w:rsidP="00220C28">
      <w:pPr>
        <w:rPr>
          <w:rFonts w:cs="Arial"/>
          <w:iCs/>
          <w:spacing w:val="-6"/>
          <w:szCs w:val="18"/>
        </w:rPr>
      </w:pPr>
      <w:r w:rsidRPr="00710309">
        <w:rPr>
          <w:rFonts w:cs="Arial"/>
          <w:iCs/>
          <w:spacing w:val="-6"/>
          <w:szCs w:val="18"/>
        </w:rPr>
        <w:lastRenderedPageBreak/>
        <w:t xml:space="preserve">g) i tillämpliga fall, framstegen med att genomföra insatser av strategisk betydelse, </w:t>
      </w:r>
    </w:p>
    <w:p w14:paraId="1FB838AE" w14:textId="77777777" w:rsidR="00220C28" w:rsidRDefault="00220C28" w:rsidP="00220C28">
      <w:pPr>
        <w:rPr>
          <w:rFonts w:cs="Arial"/>
          <w:iCs/>
          <w:spacing w:val="-6"/>
          <w:szCs w:val="18"/>
        </w:rPr>
      </w:pPr>
      <w:r w:rsidRPr="00710309">
        <w:rPr>
          <w:rFonts w:cs="Arial"/>
          <w:iCs/>
          <w:spacing w:val="-6"/>
          <w:szCs w:val="18"/>
        </w:rPr>
        <w:t xml:space="preserve">h) uppfyllandet av nödvändiga villkor och tillämpningen av dem under hela programperioden, </w:t>
      </w:r>
    </w:p>
    <w:p w14:paraId="6F2C231A" w14:textId="77777777" w:rsidR="00220C28" w:rsidRDefault="00220C28" w:rsidP="00220C28">
      <w:pPr>
        <w:rPr>
          <w:rFonts w:cs="Arial"/>
          <w:iCs/>
          <w:spacing w:val="-6"/>
          <w:szCs w:val="18"/>
        </w:rPr>
      </w:pPr>
      <w:r w:rsidRPr="00710309">
        <w:rPr>
          <w:rFonts w:cs="Arial"/>
          <w:iCs/>
          <w:spacing w:val="-6"/>
          <w:szCs w:val="18"/>
        </w:rPr>
        <w:t xml:space="preserve">i) framstegen med att bygga upp administrativ kapacitet hos offentliga institutioner, partner och stödmottagare, om det är relevant, </w:t>
      </w:r>
    </w:p>
    <w:p w14:paraId="6B2D876F" w14:textId="77777777" w:rsidR="00220C28" w:rsidRDefault="00220C28" w:rsidP="00220C28">
      <w:pPr>
        <w:rPr>
          <w:rFonts w:cs="Arial"/>
          <w:iCs/>
          <w:spacing w:val="-6"/>
          <w:szCs w:val="18"/>
        </w:rPr>
      </w:pPr>
      <w:r w:rsidRPr="00710309">
        <w:rPr>
          <w:rFonts w:cs="Arial"/>
          <w:iCs/>
          <w:spacing w:val="-6"/>
          <w:szCs w:val="18"/>
        </w:rPr>
        <w:t xml:space="preserve">j) information om genomförandet av programmets bidrag till </w:t>
      </w:r>
      <w:proofErr w:type="spellStart"/>
      <w:r w:rsidRPr="00710309">
        <w:rPr>
          <w:rFonts w:cs="Arial"/>
          <w:iCs/>
          <w:spacing w:val="-6"/>
          <w:szCs w:val="18"/>
        </w:rPr>
        <w:t>InvestEU</w:t>
      </w:r>
      <w:proofErr w:type="spellEnd"/>
      <w:r w:rsidRPr="00710309">
        <w:rPr>
          <w:rFonts w:cs="Arial"/>
          <w:iCs/>
          <w:spacing w:val="-6"/>
          <w:szCs w:val="18"/>
        </w:rPr>
        <w:t xml:space="preserve">-programmet i enlighet med artikel 14 eller, i förekommande fall, av de medel som överförts i enlighet med artikel 26. </w:t>
      </w:r>
    </w:p>
    <w:p w14:paraId="54BD23FF" w14:textId="77777777" w:rsidR="00220C28" w:rsidRDefault="00220C28" w:rsidP="00220C28">
      <w:pPr>
        <w:rPr>
          <w:rFonts w:cs="Arial"/>
          <w:iCs/>
          <w:spacing w:val="-6"/>
          <w:szCs w:val="18"/>
        </w:rPr>
      </w:pPr>
      <w:r w:rsidRPr="00710309">
        <w:rPr>
          <w:rFonts w:cs="Arial"/>
          <w:iCs/>
          <w:spacing w:val="-6"/>
          <w:szCs w:val="18"/>
        </w:rPr>
        <w:t xml:space="preserve">När det gäller program som får stöd från EHFVF ska övervakningskommittén rådfrågas och ska, om den anser att det är lämpligt, avge ett yttrande om eventuella ändringar av programmet som föreslås av den förvaltande myndigheten. </w:t>
      </w:r>
    </w:p>
    <w:p w14:paraId="771AD615" w14:textId="77777777" w:rsidR="00220C28" w:rsidRDefault="00220C28" w:rsidP="00220C28">
      <w:pPr>
        <w:rPr>
          <w:rFonts w:cs="Arial"/>
          <w:iCs/>
          <w:spacing w:val="-6"/>
          <w:szCs w:val="18"/>
        </w:rPr>
      </w:pPr>
    </w:p>
    <w:p w14:paraId="5B93EBC6" w14:textId="77777777" w:rsidR="00220C28" w:rsidRDefault="00220C28" w:rsidP="00220C28">
      <w:pPr>
        <w:rPr>
          <w:rFonts w:cs="Arial"/>
          <w:iCs/>
          <w:spacing w:val="-6"/>
          <w:szCs w:val="18"/>
        </w:rPr>
      </w:pPr>
      <w:r w:rsidRPr="00710309">
        <w:rPr>
          <w:rFonts w:cs="Arial"/>
          <w:iCs/>
          <w:spacing w:val="-6"/>
          <w:szCs w:val="18"/>
        </w:rPr>
        <w:t xml:space="preserve">2. Övervakningskommittén ska godkänna </w:t>
      </w:r>
    </w:p>
    <w:p w14:paraId="3A3C6865" w14:textId="77777777" w:rsidR="00220C28" w:rsidRDefault="00220C28" w:rsidP="00220C28">
      <w:pPr>
        <w:rPr>
          <w:rFonts w:cs="Arial"/>
          <w:iCs/>
          <w:spacing w:val="-6"/>
          <w:szCs w:val="18"/>
        </w:rPr>
      </w:pPr>
      <w:r w:rsidRPr="00710309">
        <w:rPr>
          <w:rFonts w:cs="Arial"/>
          <w:iCs/>
          <w:spacing w:val="-6"/>
          <w:szCs w:val="18"/>
        </w:rPr>
        <w:t xml:space="preserve">a) de metoder och kriterier som tillämpas för urvalet av insatser, inklusive eventuella ändringar av dessa, utan att det påverkar tillämpningen av artikel 33.3 b, c och d; på kommissionens begäran ska de metoder och kriterier som tillämpas för urvalet av insatser, inklusive eventuella ändringar av dessa, överlämnas till kommissionen senast 15 arbetsdagar innan de överlämnas till övervakningskommittén. </w:t>
      </w:r>
    </w:p>
    <w:p w14:paraId="03C17FEA" w14:textId="77777777" w:rsidR="00220C28" w:rsidRDefault="00220C28" w:rsidP="00220C28">
      <w:pPr>
        <w:rPr>
          <w:rFonts w:cs="Arial"/>
          <w:iCs/>
          <w:spacing w:val="-6"/>
          <w:szCs w:val="18"/>
        </w:rPr>
      </w:pPr>
      <w:r w:rsidRPr="00710309">
        <w:rPr>
          <w:rFonts w:cs="Arial"/>
          <w:iCs/>
          <w:spacing w:val="-6"/>
          <w:szCs w:val="18"/>
        </w:rPr>
        <w:t xml:space="preserve">b) de årliga prestationsrapporterna för program som får stöd från </w:t>
      </w:r>
      <w:proofErr w:type="spellStart"/>
      <w:r w:rsidRPr="00710309">
        <w:rPr>
          <w:rFonts w:cs="Arial"/>
          <w:iCs/>
          <w:spacing w:val="-6"/>
          <w:szCs w:val="18"/>
        </w:rPr>
        <w:t>Amif</w:t>
      </w:r>
      <w:proofErr w:type="spellEnd"/>
      <w:r w:rsidRPr="00710309">
        <w:rPr>
          <w:rFonts w:cs="Arial"/>
          <w:iCs/>
          <w:spacing w:val="-6"/>
          <w:szCs w:val="18"/>
        </w:rPr>
        <w:t xml:space="preserve">, Fonden för inre säkerhet och instrumentet för ekonomiskt stöd för gränsförvaltning och viseringspolitik samt den slutliga prestationsrapporten för program som får stöd från </w:t>
      </w:r>
      <w:proofErr w:type="spellStart"/>
      <w:r w:rsidRPr="00710309">
        <w:rPr>
          <w:rFonts w:cs="Arial"/>
          <w:iCs/>
          <w:spacing w:val="-6"/>
          <w:szCs w:val="18"/>
        </w:rPr>
        <w:t>Eruf</w:t>
      </w:r>
      <w:proofErr w:type="spellEnd"/>
      <w:r w:rsidRPr="00710309">
        <w:rPr>
          <w:rFonts w:cs="Arial"/>
          <w:iCs/>
          <w:spacing w:val="-6"/>
          <w:szCs w:val="18"/>
        </w:rPr>
        <w:t xml:space="preserve">, ESF+, Sammanhållningsfonden, FRO och EHFVF, </w:t>
      </w:r>
    </w:p>
    <w:p w14:paraId="1F082B54" w14:textId="77777777" w:rsidR="00220C28" w:rsidRDefault="00220C28" w:rsidP="00220C28">
      <w:pPr>
        <w:rPr>
          <w:rFonts w:cs="Arial"/>
          <w:iCs/>
          <w:spacing w:val="-6"/>
          <w:szCs w:val="18"/>
        </w:rPr>
      </w:pPr>
      <w:r w:rsidRPr="00710309">
        <w:rPr>
          <w:rFonts w:cs="Arial"/>
          <w:iCs/>
          <w:spacing w:val="-6"/>
          <w:szCs w:val="18"/>
        </w:rPr>
        <w:t xml:space="preserve">c) utvärderingsplanen och eventuella ändringar av den, </w:t>
      </w:r>
    </w:p>
    <w:p w14:paraId="2FDC98E0" w14:textId="77777777" w:rsidR="00220C28" w:rsidRDefault="00220C28" w:rsidP="00220C28">
      <w:pPr>
        <w:rPr>
          <w:rFonts w:cs="Arial"/>
          <w:iCs/>
          <w:spacing w:val="-6"/>
          <w:szCs w:val="18"/>
        </w:rPr>
      </w:pPr>
      <w:r w:rsidRPr="00710309">
        <w:rPr>
          <w:rFonts w:cs="Arial"/>
          <w:iCs/>
          <w:spacing w:val="-6"/>
          <w:szCs w:val="18"/>
        </w:rPr>
        <w:t xml:space="preserve">d) eventuella förslag från den förvaltande myndigheten om ändring av ett program, inklusive om överföringar i enlighet med artiklarna 24.5 och 26, med undantag för program som får stöd genom EHFVF. </w:t>
      </w:r>
    </w:p>
    <w:p w14:paraId="36259354" w14:textId="77777777" w:rsidR="00220C28" w:rsidRPr="00710309" w:rsidRDefault="00220C28" w:rsidP="00220C28">
      <w:pPr>
        <w:rPr>
          <w:rFonts w:cs="Arial"/>
          <w:iCs/>
          <w:spacing w:val="-6"/>
          <w:szCs w:val="18"/>
        </w:rPr>
      </w:pPr>
      <w:r w:rsidRPr="00710309">
        <w:rPr>
          <w:rFonts w:cs="Arial"/>
          <w:iCs/>
          <w:spacing w:val="-6"/>
          <w:szCs w:val="18"/>
        </w:rPr>
        <w:t>3. Övervakningskommittén får ge den förvaltande myndigheten rekommendationer, inbegripet om åtgärder för att minska den administrativa bördan för stödmottagarna</w:t>
      </w:r>
      <w:r>
        <w:rPr>
          <w:rFonts w:cs="Arial"/>
          <w:iCs/>
          <w:spacing w:val="-6"/>
          <w:szCs w:val="18"/>
        </w:rPr>
        <w:t>.</w:t>
      </w:r>
    </w:p>
    <w:p w14:paraId="2ECC3AFA" w14:textId="77777777" w:rsidR="00220C28" w:rsidRDefault="00220C28" w:rsidP="00220C28">
      <w:pPr>
        <w:rPr>
          <w:rFonts w:cs="Arial"/>
          <w:b/>
          <w:bCs/>
          <w:iCs/>
          <w:spacing w:val="-6"/>
          <w:szCs w:val="18"/>
        </w:rPr>
      </w:pPr>
    </w:p>
    <w:p w14:paraId="2536AFCE" w14:textId="47AC0F1A" w:rsidR="00220C28" w:rsidRPr="00E722DE" w:rsidRDefault="00220C28" w:rsidP="00220C28">
      <w:pPr>
        <w:rPr>
          <w:rFonts w:cs="Arial"/>
          <w:b/>
          <w:bCs/>
          <w:iCs/>
          <w:spacing w:val="-6"/>
          <w:szCs w:val="18"/>
        </w:rPr>
      </w:pPr>
      <w:r w:rsidRPr="00E722DE">
        <w:rPr>
          <w:rFonts w:cs="Arial"/>
          <w:b/>
          <w:bCs/>
          <w:iCs/>
          <w:spacing w:val="-6"/>
          <w:szCs w:val="18"/>
        </w:rPr>
        <w:t xml:space="preserve">KAPITEL II </w:t>
      </w:r>
    </w:p>
    <w:p w14:paraId="1D58D618" w14:textId="77777777" w:rsidR="00220C28" w:rsidRPr="00E722DE" w:rsidRDefault="00220C28" w:rsidP="00220C28">
      <w:pPr>
        <w:rPr>
          <w:rFonts w:cs="Arial"/>
          <w:b/>
          <w:bCs/>
          <w:iCs/>
          <w:spacing w:val="-6"/>
          <w:szCs w:val="18"/>
        </w:rPr>
      </w:pPr>
      <w:r w:rsidRPr="00E722DE">
        <w:rPr>
          <w:rFonts w:cs="Arial"/>
          <w:b/>
          <w:bCs/>
          <w:iCs/>
          <w:spacing w:val="-6"/>
          <w:szCs w:val="18"/>
        </w:rPr>
        <w:t>Utvärdering</w:t>
      </w:r>
    </w:p>
    <w:p w14:paraId="28505775"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Artikel 44</w:t>
      </w:r>
    </w:p>
    <w:p w14:paraId="2D37D9FA"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Medlemsstatens utvärderingar</w:t>
      </w:r>
    </w:p>
    <w:p w14:paraId="17A93294"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1. Medlemsstaten eller den förvaltande myndigheten ska utvärdera programmen mot ett eller flera av följande kriterier: ändamålsenlighet, effektivitet, relevans, samstämmighet och mervärde för unionen, i syfte att förbättra kvaliteten när det gäller utformning och genomförande av program. Utvärderingarna får också omfatta andra relevanta kriterier, såsom inkludering, icke-diskriminering och synlighet, och får omfatta fler än ett program.</w:t>
      </w:r>
    </w:p>
    <w:p w14:paraId="706B755F"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lastRenderedPageBreak/>
        <w:t>2. En utvärdering av varje program för att bedöma dess genomslag ska dessutom göras senast den 30 juni   2029.</w:t>
      </w:r>
    </w:p>
    <w:p w14:paraId="6497FD15"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3. Utvärderingarna ska utföras av interna eller externa experter som är funktionellt oberoende.</w:t>
      </w:r>
    </w:p>
    <w:p w14:paraId="48E07BF9"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4. Medlemsstaten eller den förvaltande myndigheten ska säkerställa att nödvändiga förfaranden har inrättats för att ta fram och samla in de uppgifter som krävs för utvärderingarna.</w:t>
      </w:r>
    </w:p>
    <w:p w14:paraId="28EA4FC5"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 xml:space="preserve">5. Medlemsstaten eller den förvaltande myndigheten ska upprätta en utvärderingsplan som kan omfatta fler än ett program. För </w:t>
      </w:r>
      <w:proofErr w:type="spellStart"/>
      <w:r w:rsidRPr="00710309">
        <w:rPr>
          <w:rFonts w:cs="Arial"/>
          <w:iCs/>
          <w:spacing w:val="-6"/>
          <w:szCs w:val="18"/>
        </w:rPr>
        <w:t>Amif</w:t>
      </w:r>
      <w:proofErr w:type="spellEnd"/>
      <w:r w:rsidRPr="00710309">
        <w:rPr>
          <w:rFonts w:cs="Arial"/>
          <w:iCs/>
          <w:spacing w:val="-6"/>
          <w:szCs w:val="18"/>
        </w:rPr>
        <w:t>, Fonden för inre säkerhet och instrumentet för ekonomiskt stöd för gränsförvaltning och viseringspolitik ska planen inbegripa en halvtidsutvärdering som ska vara genomförd senast den 31 mars 2024.</w:t>
      </w:r>
    </w:p>
    <w:p w14:paraId="50B513A7"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6. Medlemsstaten eller den förvaltande myndigheten ska lägga fram utvärderingsplanen för övervakningskommittén senast ett år efter beslutet om godkännande av programmet.</w:t>
      </w:r>
    </w:p>
    <w:p w14:paraId="5044842F" w14:textId="77777777" w:rsidR="00220C28" w:rsidRPr="00710309" w:rsidRDefault="00220C28" w:rsidP="00220C28">
      <w:pPr>
        <w:autoSpaceDE w:val="0"/>
        <w:autoSpaceDN w:val="0"/>
        <w:adjustRightInd w:val="0"/>
        <w:rPr>
          <w:rFonts w:cs="Arial"/>
          <w:iCs/>
          <w:spacing w:val="-6"/>
          <w:szCs w:val="18"/>
        </w:rPr>
      </w:pPr>
      <w:r w:rsidRPr="00710309">
        <w:rPr>
          <w:rFonts w:cs="Arial"/>
          <w:iCs/>
          <w:spacing w:val="-6"/>
          <w:szCs w:val="18"/>
        </w:rPr>
        <w:t>7. Alla utvärderingar ska offentliggöras på den webbplats som avses i artikel 49.1.</w:t>
      </w:r>
    </w:p>
    <w:p w14:paraId="6CD72C30" w14:textId="77777777" w:rsidR="00220C28" w:rsidRDefault="00220C28" w:rsidP="00220C28">
      <w:pPr>
        <w:autoSpaceDE w:val="0"/>
        <w:autoSpaceDN w:val="0"/>
        <w:adjustRightInd w:val="0"/>
        <w:rPr>
          <w:rFonts w:cs="EUAlbertina"/>
          <w:b/>
          <w:bCs/>
          <w:color w:val="000000"/>
          <w:szCs w:val="18"/>
        </w:rPr>
      </w:pPr>
    </w:p>
    <w:p w14:paraId="15C71F08" w14:textId="77777777" w:rsidR="00220C28" w:rsidRDefault="00220C28" w:rsidP="00220C28">
      <w:pPr>
        <w:autoSpaceDE w:val="0"/>
        <w:autoSpaceDN w:val="0"/>
        <w:adjustRightInd w:val="0"/>
        <w:rPr>
          <w:rFonts w:cs="EUAlbertina"/>
          <w:b/>
          <w:bCs/>
          <w:color w:val="000000"/>
          <w:szCs w:val="18"/>
        </w:rPr>
      </w:pPr>
      <w:r w:rsidRPr="00140E22">
        <w:rPr>
          <w:rFonts w:cs="EUAlbertina"/>
          <w:b/>
          <w:bCs/>
          <w:color w:val="000000"/>
          <w:szCs w:val="18"/>
        </w:rPr>
        <w:t>Artikel 53</w:t>
      </w:r>
    </w:p>
    <w:p w14:paraId="3DA2CDF6" w14:textId="77777777" w:rsidR="00220C28" w:rsidRDefault="00220C28" w:rsidP="00220C28">
      <w:pPr>
        <w:autoSpaceDE w:val="0"/>
        <w:autoSpaceDN w:val="0"/>
        <w:adjustRightInd w:val="0"/>
        <w:rPr>
          <w:rFonts w:cs="EUAlbertina"/>
          <w:b/>
          <w:bCs/>
          <w:color w:val="000000"/>
          <w:szCs w:val="18"/>
        </w:rPr>
      </w:pPr>
      <w:r w:rsidRPr="00140E22">
        <w:rPr>
          <w:rFonts w:cs="EUAlbertina"/>
          <w:b/>
          <w:bCs/>
          <w:color w:val="000000"/>
          <w:szCs w:val="18"/>
        </w:rPr>
        <w:t>Bidragsformer</w:t>
      </w:r>
    </w:p>
    <w:p w14:paraId="29C42844" w14:textId="77777777" w:rsidR="00220C28" w:rsidRPr="000F7661" w:rsidRDefault="00220C28" w:rsidP="007E126B">
      <w:pPr>
        <w:pStyle w:val="Liststycke"/>
        <w:numPr>
          <w:ilvl w:val="1"/>
          <w:numId w:val="18"/>
        </w:numPr>
        <w:tabs>
          <w:tab w:val="clear" w:pos="5245"/>
          <w:tab w:val="clear" w:pos="6096"/>
        </w:tabs>
        <w:autoSpaceDE w:val="0"/>
        <w:autoSpaceDN w:val="0"/>
        <w:adjustRightInd w:val="0"/>
        <w:spacing w:after="63" w:line="240" w:lineRule="auto"/>
        <w:rPr>
          <w:rFonts w:cs="EUAlbertina"/>
          <w:color w:val="000000"/>
          <w:szCs w:val="18"/>
        </w:rPr>
      </w:pPr>
      <w:r w:rsidRPr="000F7661">
        <w:rPr>
          <w:rFonts w:cs="EUAlbertina"/>
          <w:color w:val="000000"/>
          <w:szCs w:val="18"/>
        </w:rPr>
        <w:t>Bidrag som medlemsstaterna ger till stödmottagarna får utgöras av något av följande:</w:t>
      </w:r>
    </w:p>
    <w:p w14:paraId="654980A2" w14:textId="77777777" w:rsidR="00220C28" w:rsidRPr="00140E22" w:rsidRDefault="00220C28" w:rsidP="007E126B">
      <w:pPr>
        <w:numPr>
          <w:ilvl w:val="1"/>
          <w:numId w:val="19"/>
        </w:numPr>
        <w:tabs>
          <w:tab w:val="clear" w:pos="5245"/>
          <w:tab w:val="clear" w:pos="6096"/>
        </w:tabs>
        <w:autoSpaceDE w:val="0"/>
        <w:autoSpaceDN w:val="0"/>
        <w:adjustRightInd w:val="0"/>
        <w:spacing w:after="63" w:line="240" w:lineRule="auto"/>
        <w:rPr>
          <w:rFonts w:cs="EUAlbertina"/>
          <w:color w:val="000000"/>
          <w:szCs w:val="18"/>
        </w:rPr>
      </w:pPr>
      <w:r w:rsidRPr="00140E22">
        <w:rPr>
          <w:rFonts w:cs="EUAlbertina"/>
          <w:color w:val="000000"/>
          <w:szCs w:val="18"/>
        </w:rPr>
        <w:t>Ersättning av stödberättigande kostnader som faktiskt ådragits av en stödmottagare eller den privata partnern för insatser inom ett offentlig-privat partnerskap och som betalats i samband med genomförandet av insatser, naturabidrag och avskrivningar.</w:t>
      </w:r>
    </w:p>
    <w:p w14:paraId="4FD8AF14" w14:textId="77777777" w:rsidR="00220C28" w:rsidRPr="00140E22" w:rsidRDefault="00220C28" w:rsidP="007E126B">
      <w:pPr>
        <w:numPr>
          <w:ilvl w:val="1"/>
          <w:numId w:val="19"/>
        </w:numPr>
        <w:tabs>
          <w:tab w:val="clear" w:pos="5245"/>
          <w:tab w:val="clear" w:pos="6096"/>
        </w:tabs>
        <w:autoSpaceDE w:val="0"/>
        <w:autoSpaceDN w:val="0"/>
        <w:adjustRightInd w:val="0"/>
        <w:spacing w:after="63" w:line="240" w:lineRule="auto"/>
        <w:rPr>
          <w:rFonts w:cs="EUAlbertina"/>
          <w:color w:val="000000"/>
          <w:szCs w:val="18"/>
        </w:rPr>
      </w:pPr>
      <w:r w:rsidRPr="00140E22">
        <w:rPr>
          <w:rFonts w:cs="EUAlbertina"/>
          <w:color w:val="000000"/>
          <w:szCs w:val="18"/>
        </w:rPr>
        <w:t>Enhetskostnader.</w:t>
      </w:r>
    </w:p>
    <w:p w14:paraId="46C15F24" w14:textId="77777777" w:rsidR="00220C28" w:rsidRPr="00140E22" w:rsidRDefault="00220C28" w:rsidP="007E126B">
      <w:pPr>
        <w:numPr>
          <w:ilvl w:val="1"/>
          <w:numId w:val="19"/>
        </w:numPr>
        <w:tabs>
          <w:tab w:val="clear" w:pos="5245"/>
          <w:tab w:val="clear" w:pos="6096"/>
        </w:tabs>
        <w:autoSpaceDE w:val="0"/>
        <w:autoSpaceDN w:val="0"/>
        <w:adjustRightInd w:val="0"/>
        <w:spacing w:after="63" w:line="240" w:lineRule="auto"/>
        <w:rPr>
          <w:rFonts w:cs="EUAlbertina"/>
          <w:color w:val="000000"/>
          <w:szCs w:val="18"/>
        </w:rPr>
      </w:pPr>
      <w:r w:rsidRPr="00140E22">
        <w:rPr>
          <w:rFonts w:cs="EUAlbertina"/>
          <w:color w:val="000000"/>
          <w:szCs w:val="18"/>
        </w:rPr>
        <w:t>Enhetsbelopp.</w:t>
      </w:r>
    </w:p>
    <w:p w14:paraId="036BCFDC" w14:textId="77777777" w:rsidR="00220C28" w:rsidRPr="00140E22" w:rsidRDefault="00220C28" w:rsidP="007E126B">
      <w:pPr>
        <w:numPr>
          <w:ilvl w:val="1"/>
          <w:numId w:val="19"/>
        </w:numPr>
        <w:tabs>
          <w:tab w:val="clear" w:pos="5245"/>
          <w:tab w:val="clear" w:pos="6096"/>
        </w:tabs>
        <w:autoSpaceDE w:val="0"/>
        <w:autoSpaceDN w:val="0"/>
        <w:adjustRightInd w:val="0"/>
        <w:spacing w:after="63" w:line="240" w:lineRule="auto"/>
        <w:rPr>
          <w:rFonts w:cs="EUAlbertina"/>
          <w:color w:val="000000"/>
          <w:szCs w:val="18"/>
        </w:rPr>
      </w:pPr>
      <w:r w:rsidRPr="00140E22">
        <w:rPr>
          <w:rFonts w:cs="EUAlbertina"/>
          <w:color w:val="000000"/>
          <w:szCs w:val="18"/>
        </w:rPr>
        <w:t>Finansiering till en schablonsats.</w:t>
      </w:r>
    </w:p>
    <w:p w14:paraId="5A11CDFD" w14:textId="77777777" w:rsidR="00220C28" w:rsidRPr="00140E22" w:rsidRDefault="00220C28" w:rsidP="007E126B">
      <w:pPr>
        <w:numPr>
          <w:ilvl w:val="1"/>
          <w:numId w:val="19"/>
        </w:numPr>
        <w:tabs>
          <w:tab w:val="clear" w:pos="5245"/>
          <w:tab w:val="clear" w:pos="6096"/>
        </w:tabs>
        <w:autoSpaceDE w:val="0"/>
        <w:autoSpaceDN w:val="0"/>
        <w:adjustRightInd w:val="0"/>
        <w:spacing w:after="63" w:line="240" w:lineRule="auto"/>
        <w:rPr>
          <w:rFonts w:cs="EUAlbertina"/>
          <w:color w:val="000000"/>
          <w:szCs w:val="18"/>
        </w:rPr>
      </w:pPr>
      <w:r w:rsidRPr="00140E22">
        <w:rPr>
          <w:rFonts w:cs="EUAlbertina"/>
          <w:color w:val="000000"/>
          <w:szCs w:val="18"/>
        </w:rPr>
        <w:t>En kombination av de former som avses i leden a–d, under förutsättning att varje form omfattar olika kostnadskategorier eller att de används för olika projekt som ingår i en insats eller för på varandra följande etapper i en insats.</w:t>
      </w:r>
    </w:p>
    <w:p w14:paraId="78183D0C" w14:textId="77777777" w:rsidR="00220C28" w:rsidRPr="00140E22" w:rsidRDefault="00220C28" w:rsidP="007E126B">
      <w:pPr>
        <w:numPr>
          <w:ilvl w:val="1"/>
          <w:numId w:val="19"/>
        </w:numPr>
        <w:tabs>
          <w:tab w:val="clear" w:pos="5245"/>
          <w:tab w:val="clear" w:pos="6096"/>
        </w:tabs>
        <w:autoSpaceDE w:val="0"/>
        <w:autoSpaceDN w:val="0"/>
        <w:adjustRightInd w:val="0"/>
        <w:spacing w:after="0" w:line="240" w:lineRule="auto"/>
        <w:rPr>
          <w:rFonts w:cs="EUAlbertina"/>
          <w:color w:val="000000"/>
          <w:szCs w:val="18"/>
        </w:rPr>
      </w:pPr>
      <w:r w:rsidRPr="00140E22">
        <w:rPr>
          <w:rFonts w:cs="EUAlbertina"/>
          <w:color w:val="000000"/>
          <w:szCs w:val="18"/>
        </w:rPr>
        <w:t xml:space="preserve">Finansiering som inte är kopplad till kostnaderna, under förutsättning att sådana bidrag omfattas av ersättning genom unionsbidrag enligt artikel 95. </w:t>
      </w:r>
    </w:p>
    <w:p w14:paraId="54EAE2E7" w14:textId="77777777" w:rsidR="00220C28" w:rsidRPr="00140E22" w:rsidRDefault="00220C28" w:rsidP="00220C28">
      <w:pPr>
        <w:autoSpaceDE w:val="0"/>
        <w:autoSpaceDN w:val="0"/>
        <w:adjustRightInd w:val="0"/>
        <w:ind w:left="720"/>
        <w:rPr>
          <w:rFonts w:cs="EUAlbertina"/>
          <w:color w:val="000000"/>
          <w:szCs w:val="18"/>
        </w:rPr>
      </w:pPr>
    </w:p>
    <w:p w14:paraId="520FA756" w14:textId="77777777" w:rsidR="00220C28" w:rsidRPr="000F7661" w:rsidRDefault="00220C28" w:rsidP="007E126B">
      <w:pPr>
        <w:pStyle w:val="Liststycke"/>
        <w:numPr>
          <w:ilvl w:val="0"/>
          <w:numId w:val="18"/>
        </w:numPr>
        <w:tabs>
          <w:tab w:val="clear" w:pos="5245"/>
          <w:tab w:val="clear" w:pos="6096"/>
        </w:tabs>
        <w:autoSpaceDE w:val="0"/>
        <w:autoSpaceDN w:val="0"/>
        <w:adjustRightInd w:val="0"/>
        <w:spacing w:after="0" w:line="240" w:lineRule="auto"/>
        <w:rPr>
          <w:rFonts w:cs="EUAlbertina"/>
          <w:szCs w:val="18"/>
        </w:rPr>
      </w:pPr>
      <w:r w:rsidRPr="000F7661">
        <w:rPr>
          <w:rFonts w:cs="EUAlbertina"/>
          <w:szCs w:val="18"/>
        </w:rPr>
        <w:t xml:space="preserve">Om den totala kostnaden för en insats inte överstiger 200 000EUR ska bidraget till stödmottagaren från </w:t>
      </w:r>
      <w:proofErr w:type="spellStart"/>
      <w:r w:rsidRPr="000F7661">
        <w:rPr>
          <w:rFonts w:cs="EUAlbertina"/>
          <w:szCs w:val="18"/>
        </w:rPr>
        <w:t>Eruf</w:t>
      </w:r>
      <w:proofErr w:type="spellEnd"/>
      <w:r w:rsidRPr="000F7661">
        <w:rPr>
          <w:rFonts w:cs="EUAlbertina"/>
          <w:szCs w:val="18"/>
        </w:rPr>
        <w:t xml:space="preserve">, ESF+, FRO, </w:t>
      </w:r>
      <w:proofErr w:type="spellStart"/>
      <w:r w:rsidRPr="000F7661">
        <w:rPr>
          <w:rFonts w:cs="EUAlbertina"/>
          <w:szCs w:val="18"/>
        </w:rPr>
        <w:t>Amif</w:t>
      </w:r>
      <w:proofErr w:type="spellEnd"/>
      <w:r w:rsidRPr="000F7661">
        <w:rPr>
          <w:rFonts w:cs="EUAlbertina"/>
          <w:szCs w:val="18"/>
        </w:rPr>
        <w:t xml:space="preserve">, Fonden för inre säkerhet och instrumentet för ekonomiskt stöd för gränsförvaltning och viseringspolitik ges i form av enhetskostnader, enhetsbelopp eller schablonsatser, utom för insatser som får stöd i form av statligt stöd. När finansiering till en schablonsats används ska endast de kostnadskategorier för vilka schablonsatserna gäller ersättas i enlighet med punkt 1 </w:t>
      </w:r>
      <w:proofErr w:type="spellStart"/>
      <w:r w:rsidRPr="000F7661">
        <w:rPr>
          <w:rFonts w:cs="EUAlbertina"/>
          <w:szCs w:val="18"/>
        </w:rPr>
        <w:t>a.Genom</w:t>
      </w:r>
      <w:proofErr w:type="spellEnd"/>
      <w:r w:rsidRPr="000F7661">
        <w:rPr>
          <w:rFonts w:cs="EUAlbertina"/>
          <w:szCs w:val="18"/>
        </w:rPr>
        <w:t xml:space="preserve"> undantag från första stycket i denna punkt får den förvaltande myndigheten samtycka till att undanta vissa insatser på området forskning och innovation från den skyldighet som avses i det stycket, </w:t>
      </w:r>
      <w:r w:rsidRPr="0026745A">
        <w:rPr>
          <w:rFonts w:cstheme="minorHAnsi"/>
          <w:color w:val="000000"/>
          <w:szCs w:val="18"/>
        </w:rPr>
        <w:t>förutsatt att övervakningskommittén i förväg har godkänt ett sådant undantag. Dess</w:t>
      </w:r>
      <w:r w:rsidRPr="000F7661">
        <w:rPr>
          <w:rFonts w:cs="EUAlbertina"/>
          <w:szCs w:val="18"/>
        </w:rPr>
        <w:t>utom får tillägg och löner till deltagarna ersättas i enlighet med punkt 1 a.</w:t>
      </w:r>
    </w:p>
    <w:p w14:paraId="3D936BE7" w14:textId="77777777" w:rsidR="00220C28" w:rsidRDefault="00220C28" w:rsidP="00220C28">
      <w:pPr>
        <w:autoSpaceDE w:val="0"/>
        <w:autoSpaceDN w:val="0"/>
        <w:adjustRightInd w:val="0"/>
        <w:rPr>
          <w:rFonts w:cstheme="minorHAnsi"/>
          <w:color w:val="000000"/>
          <w:szCs w:val="18"/>
        </w:rPr>
      </w:pPr>
    </w:p>
    <w:p w14:paraId="20E1A65B" w14:textId="77777777" w:rsidR="00220C28" w:rsidRPr="00E722DE" w:rsidRDefault="00220C28" w:rsidP="00220C28">
      <w:pPr>
        <w:autoSpaceDE w:val="0"/>
        <w:autoSpaceDN w:val="0"/>
        <w:adjustRightInd w:val="0"/>
        <w:rPr>
          <w:rFonts w:cs="EUAlbertina"/>
          <w:b/>
          <w:bCs/>
          <w:color w:val="000000"/>
          <w:szCs w:val="18"/>
        </w:rPr>
      </w:pPr>
      <w:r w:rsidRPr="00E722DE">
        <w:rPr>
          <w:rFonts w:cs="EUAlbertina"/>
          <w:b/>
          <w:bCs/>
          <w:color w:val="000000"/>
          <w:szCs w:val="18"/>
        </w:rPr>
        <w:t xml:space="preserve">KAPITEL II </w:t>
      </w:r>
    </w:p>
    <w:p w14:paraId="1EE810AD" w14:textId="77777777" w:rsidR="00220C28" w:rsidRPr="00E722DE" w:rsidRDefault="00220C28" w:rsidP="00220C28">
      <w:pPr>
        <w:autoSpaceDE w:val="0"/>
        <w:autoSpaceDN w:val="0"/>
        <w:adjustRightInd w:val="0"/>
        <w:rPr>
          <w:rFonts w:cs="EUAlbertina"/>
          <w:b/>
          <w:bCs/>
          <w:color w:val="000000"/>
          <w:szCs w:val="18"/>
        </w:rPr>
      </w:pPr>
      <w:r w:rsidRPr="00E722DE">
        <w:rPr>
          <w:rFonts w:cs="EUAlbertina"/>
          <w:b/>
          <w:bCs/>
          <w:color w:val="000000"/>
          <w:szCs w:val="18"/>
        </w:rPr>
        <w:t>Standardmässiga förvaltnings- och kontrollsystem</w:t>
      </w:r>
    </w:p>
    <w:p w14:paraId="3FC5A535" w14:textId="77777777" w:rsidR="00220C28" w:rsidRPr="00431051" w:rsidRDefault="00220C28" w:rsidP="00220C28">
      <w:pPr>
        <w:autoSpaceDE w:val="0"/>
        <w:autoSpaceDN w:val="0"/>
        <w:adjustRightInd w:val="0"/>
        <w:rPr>
          <w:rFonts w:cs="EUAlbertina"/>
          <w:b/>
          <w:bCs/>
          <w:color w:val="000000"/>
          <w:szCs w:val="18"/>
        </w:rPr>
      </w:pPr>
      <w:r w:rsidRPr="00431051">
        <w:rPr>
          <w:rFonts w:cs="EUAlbertina"/>
          <w:b/>
          <w:bCs/>
          <w:color w:val="000000"/>
          <w:szCs w:val="18"/>
        </w:rPr>
        <w:t xml:space="preserve">Artikel 72 </w:t>
      </w:r>
    </w:p>
    <w:p w14:paraId="1F555B2E"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lastRenderedPageBreak/>
        <w:t>Den förvaltande myndighetens uppgifter</w:t>
      </w:r>
    </w:p>
    <w:p w14:paraId="5CBF1091" w14:textId="58EA980E" w:rsidR="00220C28" w:rsidRPr="00431051" w:rsidRDefault="001E5D1D" w:rsidP="00220C28">
      <w:pPr>
        <w:autoSpaceDE w:val="0"/>
        <w:autoSpaceDN w:val="0"/>
        <w:adjustRightInd w:val="0"/>
        <w:rPr>
          <w:rFonts w:cs="EUAlbertina"/>
          <w:color w:val="000000"/>
          <w:szCs w:val="18"/>
        </w:rPr>
      </w:pPr>
      <w:r w:rsidRPr="00431051">
        <w:rPr>
          <w:rFonts w:cs="EUAlbertina"/>
          <w:color w:val="000000"/>
          <w:szCs w:val="18"/>
        </w:rPr>
        <w:t>1-Den</w:t>
      </w:r>
      <w:r w:rsidR="00220C28" w:rsidRPr="00431051">
        <w:rPr>
          <w:rFonts w:cs="EUAlbertina"/>
          <w:color w:val="000000"/>
          <w:szCs w:val="18"/>
        </w:rPr>
        <w:t xml:space="preserve"> förvaltande myndigheten ska ansvara för förvaltningen av programmet, med syftet att programmets mål ska uppnås. Den ska särskilt ha följande uppgifter: </w:t>
      </w:r>
    </w:p>
    <w:p w14:paraId="69A70BAF"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a) Välja ut insatser i enlighet med artikel 73, med undantag för insatser som avses i artikel 33.3 d. </w:t>
      </w:r>
    </w:p>
    <w:p w14:paraId="43920538"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b) Utföra programförvaltningsuppgifter i enlighet med artikel 74. </w:t>
      </w:r>
    </w:p>
    <w:p w14:paraId="30CEDECE"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c) Stödja övervakningskommitténs arbete i enlighet med artikel 75. </w:t>
      </w:r>
    </w:p>
    <w:p w14:paraId="252F4A15"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d) Övervaka förmedlande organ.</w:t>
      </w:r>
    </w:p>
    <w:p w14:paraId="1F49C443"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e) Elektroniskt registrera och lagra de uppgifter om varje insats som behövs för övervakning, utvärdering, ekonomisk förvaltning, kontroller och revisioner i enlighet med bilaga XVII samt säkerställa uppgifternas säkerhet, integritet och </w:t>
      </w:r>
      <w:proofErr w:type="spellStart"/>
      <w:r w:rsidRPr="00431051">
        <w:rPr>
          <w:rFonts w:cs="EUAlbertina"/>
          <w:color w:val="000000"/>
          <w:szCs w:val="18"/>
        </w:rPr>
        <w:t>konfidentialitet</w:t>
      </w:r>
      <w:proofErr w:type="spellEnd"/>
      <w:r w:rsidRPr="00431051">
        <w:rPr>
          <w:rFonts w:cs="EUAlbertina"/>
          <w:color w:val="000000"/>
          <w:szCs w:val="18"/>
        </w:rPr>
        <w:t xml:space="preserve"> och autentisering av användare. </w:t>
      </w:r>
    </w:p>
    <w:p w14:paraId="18716A31"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2. Medlemsstaten får anförtro den redovisningsfunktion som avses i artikel 76 till den förvaltande myndigheten eller till ett annat organ. </w:t>
      </w:r>
    </w:p>
    <w:p w14:paraId="6DCE28C6" w14:textId="77777777" w:rsidR="00220C28" w:rsidRPr="00431051" w:rsidRDefault="00220C28" w:rsidP="00220C28">
      <w:pPr>
        <w:autoSpaceDE w:val="0"/>
        <w:autoSpaceDN w:val="0"/>
        <w:adjustRightInd w:val="0"/>
        <w:rPr>
          <w:rFonts w:cs="EUAlbertina"/>
          <w:color w:val="000000"/>
          <w:szCs w:val="18"/>
        </w:rPr>
      </w:pPr>
      <w:r w:rsidRPr="00431051">
        <w:rPr>
          <w:rFonts w:cs="EUAlbertina"/>
          <w:color w:val="000000"/>
          <w:szCs w:val="18"/>
        </w:rPr>
        <w:t xml:space="preserve">3. För program som får stöd från </w:t>
      </w:r>
      <w:proofErr w:type="spellStart"/>
      <w:r w:rsidRPr="00431051">
        <w:rPr>
          <w:rFonts w:cs="EUAlbertina"/>
          <w:color w:val="000000"/>
          <w:szCs w:val="18"/>
        </w:rPr>
        <w:t>Amif</w:t>
      </w:r>
      <w:proofErr w:type="spellEnd"/>
      <w:r w:rsidRPr="00431051">
        <w:rPr>
          <w:rFonts w:cs="EUAlbertina"/>
          <w:color w:val="000000"/>
          <w:szCs w:val="18"/>
        </w:rPr>
        <w:t>, Fonden för inre säkerhet och instrumentet för ekonomiskt stöd för gränsförvaltning och viseringspolitik ska redovisningsfunktionen utföras av den förvaltande myndigheten eller på dess ansvar.</w:t>
      </w:r>
    </w:p>
    <w:p w14:paraId="6C468259" w14:textId="77777777" w:rsidR="007E126B" w:rsidRDefault="007E126B" w:rsidP="00220C28">
      <w:pPr>
        <w:autoSpaceDE w:val="0"/>
        <w:autoSpaceDN w:val="0"/>
        <w:adjustRightInd w:val="0"/>
        <w:rPr>
          <w:rFonts w:cstheme="minorHAnsi"/>
          <w:b/>
          <w:bCs/>
          <w:color w:val="000000"/>
          <w:szCs w:val="18"/>
        </w:rPr>
      </w:pPr>
    </w:p>
    <w:p w14:paraId="5381CD82" w14:textId="50767A81" w:rsidR="00220C28" w:rsidRPr="004F1885" w:rsidRDefault="00220C28" w:rsidP="00220C28">
      <w:pPr>
        <w:autoSpaceDE w:val="0"/>
        <w:autoSpaceDN w:val="0"/>
        <w:adjustRightInd w:val="0"/>
        <w:rPr>
          <w:rFonts w:cstheme="minorHAnsi"/>
          <w:b/>
          <w:bCs/>
          <w:color w:val="000000"/>
          <w:szCs w:val="18"/>
        </w:rPr>
      </w:pPr>
      <w:r w:rsidRPr="004F1885">
        <w:rPr>
          <w:rFonts w:cstheme="minorHAnsi"/>
          <w:b/>
          <w:bCs/>
          <w:color w:val="000000"/>
          <w:szCs w:val="18"/>
        </w:rPr>
        <w:t>Artikel 75</w:t>
      </w:r>
    </w:p>
    <w:p w14:paraId="35B5DB2E" w14:textId="77777777" w:rsidR="00220C28" w:rsidRPr="004F1885" w:rsidRDefault="00220C28" w:rsidP="00220C28">
      <w:pPr>
        <w:autoSpaceDE w:val="0"/>
        <w:autoSpaceDN w:val="0"/>
        <w:adjustRightInd w:val="0"/>
        <w:rPr>
          <w:rFonts w:cstheme="minorHAnsi"/>
          <w:b/>
          <w:bCs/>
          <w:color w:val="000000"/>
          <w:szCs w:val="18"/>
        </w:rPr>
      </w:pPr>
      <w:r w:rsidRPr="004F1885">
        <w:rPr>
          <w:rFonts w:cstheme="minorHAnsi"/>
          <w:b/>
          <w:bCs/>
          <w:color w:val="000000"/>
          <w:szCs w:val="18"/>
        </w:rPr>
        <w:t>Den förvaltande myndighetens stöd till övervakningskommitténs arbete</w:t>
      </w:r>
    </w:p>
    <w:p w14:paraId="30874817" w14:textId="77777777" w:rsidR="00220C28" w:rsidRPr="00140E22" w:rsidRDefault="00220C28" w:rsidP="00220C28">
      <w:pPr>
        <w:autoSpaceDE w:val="0"/>
        <w:autoSpaceDN w:val="0"/>
        <w:adjustRightInd w:val="0"/>
        <w:rPr>
          <w:rFonts w:cstheme="minorHAnsi"/>
          <w:szCs w:val="18"/>
        </w:rPr>
      </w:pPr>
      <w:r w:rsidRPr="00140E22">
        <w:rPr>
          <w:rFonts w:cstheme="minorHAnsi"/>
          <w:szCs w:val="18"/>
        </w:rPr>
        <w:t>Den förvaltande myndigheten ska</w:t>
      </w:r>
    </w:p>
    <w:p w14:paraId="50E55D6A" w14:textId="77777777" w:rsidR="00220C28" w:rsidRPr="00431051" w:rsidRDefault="00220C28" w:rsidP="007E126B">
      <w:pPr>
        <w:numPr>
          <w:ilvl w:val="0"/>
          <w:numId w:val="17"/>
        </w:numPr>
        <w:tabs>
          <w:tab w:val="clear" w:pos="5245"/>
          <w:tab w:val="clear" w:pos="6096"/>
        </w:tabs>
        <w:autoSpaceDE w:val="0"/>
        <w:autoSpaceDN w:val="0"/>
        <w:adjustRightInd w:val="0"/>
        <w:spacing w:after="0" w:line="240" w:lineRule="auto"/>
        <w:rPr>
          <w:rFonts w:cs="EUAlbertina"/>
          <w:color w:val="000000"/>
          <w:szCs w:val="18"/>
        </w:rPr>
      </w:pPr>
      <w:r w:rsidRPr="00140E22">
        <w:rPr>
          <w:rFonts w:cstheme="minorHAnsi"/>
          <w:szCs w:val="18"/>
        </w:rPr>
        <w:t>a)</w:t>
      </w:r>
      <w:r>
        <w:rPr>
          <w:rFonts w:cstheme="minorHAnsi"/>
          <w:szCs w:val="18"/>
        </w:rPr>
        <w:t xml:space="preserve"> </w:t>
      </w:r>
      <w:r w:rsidRPr="00140E22">
        <w:rPr>
          <w:rFonts w:cstheme="minorHAnsi"/>
          <w:szCs w:val="18"/>
        </w:rPr>
        <w:t xml:space="preserve">i god tid </w:t>
      </w:r>
      <w:r w:rsidRPr="00431051">
        <w:rPr>
          <w:rFonts w:cs="EUAlbertina"/>
          <w:color w:val="000000"/>
          <w:szCs w:val="18"/>
        </w:rPr>
        <w:t xml:space="preserve">förse övervakningskommittén med all den information som den behöver för att fullgöra sina uppgifter, </w:t>
      </w:r>
    </w:p>
    <w:p w14:paraId="0A3D9B28" w14:textId="77777777" w:rsidR="00220C28" w:rsidRPr="00431051" w:rsidRDefault="00220C28" w:rsidP="007E126B">
      <w:pPr>
        <w:numPr>
          <w:ilvl w:val="0"/>
          <w:numId w:val="17"/>
        </w:numPr>
        <w:tabs>
          <w:tab w:val="clear" w:pos="5245"/>
          <w:tab w:val="clear" w:pos="6096"/>
        </w:tabs>
        <w:autoSpaceDE w:val="0"/>
        <w:autoSpaceDN w:val="0"/>
        <w:adjustRightInd w:val="0"/>
        <w:spacing w:after="0" w:line="240" w:lineRule="auto"/>
        <w:rPr>
          <w:rFonts w:cs="EUAlbertina"/>
          <w:color w:val="000000"/>
          <w:szCs w:val="18"/>
        </w:rPr>
      </w:pPr>
      <w:r w:rsidRPr="00431051">
        <w:rPr>
          <w:rFonts w:cs="EUAlbertina"/>
          <w:color w:val="000000"/>
          <w:szCs w:val="18"/>
        </w:rPr>
        <w:t>b) säkerställa att övervakningskommitténs beslut och rekommendationer följs upp.</w:t>
      </w:r>
    </w:p>
    <w:p w14:paraId="7875F35E" w14:textId="77777777" w:rsidR="00220C28" w:rsidRDefault="00220C28" w:rsidP="00220C28">
      <w:pPr>
        <w:rPr>
          <w:rFonts w:cstheme="minorHAnsi"/>
        </w:rPr>
      </w:pPr>
    </w:p>
    <w:p w14:paraId="600652EF" w14:textId="57B83036" w:rsidR="00220C28" w:rsidRDefault="00220C28" w:rsidP="00220C28">
      <w:pPr>
        <w:pStyle w:val="Rubrik2"/>
      </w:pPr>
      <w:r w:rsidRPr="005C1ABC">
        <w:t xml:space="preserve">Nationellt program för Europeiska socialfonden + 2021 </w:t>
      </w:r>
      <w:r>
        <w:t>–</w:t>
      </w:r>
      <w:r w:rsidRPr="005C1ABC">
        <w:t xml:space="preserve"> 2027</w:t>
      </w:r>
    </w:p>
    <w:p w14:paraId="6DA88957" w14:textId="77777777" w:rsidR="00220C28" w:rsidRPr="007E126B" w:rsidRDefault="00220C28" w:rsidP="00220C28">
      <w:pPr>
        <w:autoSpaceDE w:val="0"/>
        <w:autoSpaceDN w:val="0"/>
        <w:adjustRightInd w:val="0"/>
        <w:rPr>
          <w:rFonts w:cs="EUAlbertina"/>
          <w:color w:val="000000"/>
          <w:sz w:val="16"/>
          <w:szCs w:val="16"/>
        </w:rPr>
      </w:pPr>
    </w:p>
    <w:p w14:paraId="75A9CBBC"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Socialfondsprogrammet ska genomföras i åtta geografiska programområden, vilka är</w:t>
      </w:r>
    </w:p>
    <w:p w14:paraId="0DF9D254"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gemensamma med Regionalfonden, och inom varje sådant programområde ska det finnas</w:t>
      </w:r>
    </w:p>
    <w:p w14:paraId="44068AB3"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en regional handlingsplan. Det ska även finnas en nationell handlingsplan som anger</w:t>
      </w:r>
    </w:p>
    <w:p w14:paraId="4A03D8FB"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utgångspunkter och prioriteringar för satsningar på nationell nivå. Handlingsplanerna</w:t>
      </w:r>
    </w:p>
    <w:p w14:paraId="10A7FADD"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 xml:space="preserve">fastställs av övervakningskommittén. </w:t>
      </w:r>
    </w:p>
    <w:p w14:paraId="186C41E1" w14:textId="77777777" w:rsidR="007E126B" w:rsidRPr="007E126B" w:rsidRDefault="007E126B" w:rsidP="007E126B">
      <w:pPr>
        <w:pStyle w:val="Etikett"/>
        <w:rPr>
          <w:rFonts w:cs="EUAlbertina"/>
          <w:color w:val="000000"/>
          <w:sz w:val="18"/>
          <w:szCs w:val="18"/>
        </w:rPr>
      </w:pPr>
    </w:p>
    <w:p w14:paraId="6816014F" w14:textId="7747CC0F" w:rsidR="00220C28" w:rsidRPr="007E126B" w:rsidRDefault="00220C28" w:rsidP="007E126B">
      <w:pPr>
        <w:pStyle w:val="Etikett"/>
        <w:rPr>
          <w:rFonts w:cs="EUAlbertina"/>
          <w:color w:val="000000"/>
          <w:sz w:val="18"/>
          <w:szCs w:val="18"/>
        </w:rPr>
      </w:pPr>
      <w:r w:rsidRPr="007E126B">
        <w:rPr>
          <w:rFonts w:cs="EUAlbertina"/>
          <w:color w:val="000000"/>
          <w:sz w:val="18"/>
          <w:szCs w:val="18"/>
        </w:rPr>
        <w:t>Parternas faktiska delaktighet är av avgörande betydelse under genomförande,</w:t>
      </w:r>
    </w:p>
    <w:p w14:paraId="2F3D16C1"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övervakning och utvärdering av det nationella programmet. Parternas delaktighet</w:t>
      </w:r>
    </w:p>
    <w:p w14:paraId="559EC8E6"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 xml:space="preserve">säkerställs </w:t>
      </w:r>
      <w:proofErr w:type="gramStart"/>
      <w:r w:rsidRPr="007E126B">
        <w:rPr>
          <w:rFonts w:cs="EUAlbertina"/>
          <w:color w:val="000000"/>
          <w:sz w:val="18"/>
          <w:szCs w:val="18"/>
        </w:rPr>
        <w:t>bl.a.</w:t>
      </w:r>
      <w:proofErr w:type="gramEnd"/>
      <w:r w:rsidRPr="007E126B">
        <w:rPr>
          <w:rFonts w:cs="EUAlbertina"/>
          <w:color w:val="000000"/>
          <w:sz w:val="18"/>
          <w:szCs w:val="18"/>
        </w:rPr>
        <w:t xml:space="preserve"> genom att de är representerade i de regionala strukturfondspartnerskapen</w:t>
      </w:r>
    </w:p>
    <w:p w14:paraId="478DF0C7" w14:textId="77777777" w:rsidR="00220C28" w:rsidRPr="007E126B" w:rsidRDefault="00220C28" w:rsidP="007E126B">
      <w:pPr>
        <w:pStyle w:val="Etikett"/>
        <w:rPr>
          <w:rFonts w:cs="EUAlbertina"/>
          <w:color w:val="000000"/>
          <w:sz w:val="18"/>
          <w:szCs w:val="18"/>
        </w:rPr>
      </w:pPr>
      <w:r w:rsidRPr="007E126B">
        <w:rPr>
          <w:rFonts w:cs="EUAlbertina"/>
          <w:color w:val="000000"/>
          <w:sz w:val="18"/>
          <w:szCs w:val="18"/>
        </w:rPr>
        <w:t>och i övervakningskommittén för det nationella programmet för Socialfonden.</w:t>
      </w:r>
    </w:p>
    <w:p w14:paraId="57265CBF" w14:textId="77777777" w:rsidR="00220C28" w:rsidRDefault="00220C28" w:rsidP="00220C28">
      <w:pPr>
        <w:autoSpaceDE w:val="0"/>
        <w:autoSpaceDN w:val="0"/>
        <w:adjustRightInd w:val="0"/>
        <w:rPr>
          <w:rFonts w:cstheme="minorHAnsi"/>
          <w:szCs w:val="18"/>
        </w:rPr>
      </w:pPr>
      <w:r w:rsidRPr="00140E22">
        <w:rPr>
          <w:rFonts w:cstheme="minorHAnsi"/>
          <w:szCs w:val="18"/>
        </w:rPr>
        <w:t xml:space="preserve">Enligt ESF+-förordningen ska ESF+ bidra till det övergripande målet om investering för jobb och tillväxt. För att åstadkomma det krävs medverkan av berörda nationella, regionala och lokala aktörer. </w:t>
      </w:r>
    </w:p>
    <w:p w14:paraId="00A7F546" w14:textId="77777777" w:rsidR="00220C28" w:rsidRDefault="00220C28" w:rsidP="00220C28">
      <w:pPr>
        <w:autoSpaceDE w:val="0"/>
        <w:autoSpaceDN w:val="0"/>
        <w:adjustRightInd w:val="0"/>
        <w:rPr>
          <w:rFonts w:cstheme="minorHAnsi"/>
          <w:szCs w:val="18"/>
        </w:rPr>
      </w:pPr>
      <w:r w:rsidRPr="00140E22">
        <w:rPr>
          <w:rFonts w:cstheme="minorHAnsi"/>
          <w:szCs w:val="18"/>
        </w:rPr>
        <w:lastRenderedPageBreak/>
        <w:t xml:space="preserve">Enligt förordningen om gemensamma bestämmelser ska medlemsstaterna organisera ett brett partnerskap med företrädare för kommuner, myndigheter, näringslivet arbetsmarknadens parter, civilsamhället och andra relevanta organ som främjar social inkludering. Parternas deltagande är av betydelse i utformningen av det operativa programmet, i genomförandet, övervakningen och utvärderingen. </w:t>
      </w:r>
    </w:p>
    <w:p w14:paraId="46792159" w14:textId="77777777" w:rsidR="00220C28" w:rsidRPr="00140E22" w:rsidRDefault="00220C28" w:rsidP="00220C28">
      <w:pPr>
        <w:autoSpaceDE w:val="0"/>
        <w:autoSpaceDN w:val="0"/>
        <w:adjustRightInd w:val="0"/>
        <w:rPr>
          <w:rFonts w:cstheme="minorHAnsi"/>
          <w:szCs w:val="18"/>
        </w:rPr>
      </w:pPr>
      <w:r w:rsidRPr="00140E22">
        <w:rPr>
          <w:rFonts w:cstheme="minorHAnsi"/>
          <w:szCs w:val="18"/>
        </w:rPr>
        <w:t xml:space="preserve">Medverkan säkerställs </w:t>
      </w:r>
      <w:proofErr w:type="gramStart"/>
      <w:r w:rsidRPr="00140E22">
        <w:rPr>
          <w:rFonts w:cstheme="minorHAnsi"/>
          <w:szCs w:val="18"/>
        </w:rPr>
        <w:t>bl.a.</w:t>
      </w:r>
      <w:proofErr w:type="gramEnd"/>
      <w:r w:rsidRPr="00140E22">
        <w:rPr>
          <w:rFonts w:cstheme="minorHAnsi"/>
          <w:szCs w:val="18"/>
        </w:rPr>
        <w:t xml:space="preserve"> genom parternas delaktighet i de regionala strukturfondspartnerskapen och i övervakningskommittén för programmet för ESF+.</w:t>
      </w:r>
    </w:p>
    <w:p w14:paraId="3623A5A9" w14:textId="77777777" w:rsidR="00220C28" w:rsidRPr="00140E22" w:rsidRDefault="00220C28" w:rsidP="00220C28">
      <w:pPr>
        <w:autoSpaceDE w:val="0"/>
        <w:autoSpaceDN w:val="0"/>
        <w:adjustRightInd w:val="0"/>
        <w:rPr>
          <w:rFonts w:cstheme="minorHAnsi"/>
          <w:b/>
          <w:bCs/>
          <w:szCs w:val="18"/>
        </w:rPr>
      </w:pPr>
      <w:r w:rsidRPr="00140E22">
        <w:rPr>
          <w:rFonts w:cstheme="minorHAnsi"/>
          <w:b/>
          <w:bCs/>
          <w:szCs w:val="18"/>
        </w:rPr>
        <w:t>Nationella och regionala satsningar</w:t>
      </w:r>
    </w:p>
    <w:p w14:paraId="00A97BDB" w14:textId="05D0FD37" w:rsidR="00220C28" w:rsidRPr="007E126B" w:rsidRDefault="00220C28" w:rsidP="007E126B">
      <w:pPr>
        <w:autoSpaceDE w:val="0"/>
        <w:autoSpaceDN w:val="0"/>
        <w:adjustRightInd w:val="0"/>
        <w:rPr>
          <w:rFonts w:cs="EUAlbertina"/>
          <w:color w:val="000000"/>
          <w:szCs w:val="18"/>
        </w:rPr>
      </w:pPr>
      <w:r w:rsidRPr="00140E22">
        <w:rPr>
          <w:rFonts w:cstheme="minorHAnsi"/>
          <w:szCs w:val="18"/>
        </w:rPr>
        <w:t>Intentionen med ESF+ är bidra till att stärka den nationella arbetsmarknadspolitiken.</w:t>
      </w:r>
      <w:r w:rsidR="007E126B">
        <w:rPr>
          <w:rFonts w:cstheme="minorHAnsi"/>
          <w:szCs w:val="18"/>
        </w:rPr>
        <w:t xml:space="preserve"> </w:t>
      </w:r>
      <w:r w:rsidRPr="00140E22">
        <w:rPr>
          <w:rFonts w:cstheme="minorHAnsi"/>
          <w:szCs w:val="18"/>
        </w:rPr>
        <w:t>Programmet består av fem programområden och ska genomföras med nationella och regionala satsningar. Programområde A innefattar både regionala och nationella insatser och genomförandet styrs av en nationell handlingsplan och åtta regionala handlingsplaner. Insatser inom programområde B kommer enbart att kunna sökas av Arbetsförmedlingen.</w:t>
      </w:r>
      <w:r w:rsidR="007E126B">
        <w:rPr>
          <w:rFonts w:cstheme="minorHAnsi"/>
          <w:szCs w:val="18"/>
        </w:rPr>
        <w:t xml:space="preserve"> </w:t>
      </w:r>
      <w:r w:rsidRPr="007E126B">
        <w:rPr>
          <w:rFonts w:cs="EUAlbertina"/>
          <w:color w:val="000000"/>
          <w:szCs w:val="18"/>
        </w:rPr>
        <w:t>Programområdet kommer inte att omfattas av regionala handlingsplaner eller av den</w:t>
      </w:r>
      <w:r w:rsidR="007E126B">
        <w:rPr>
          <w:rFonts w:cs="EUAlbertina"/>
          <w:color w:val="000000"/>
          <w:szCs w:val="18"/>
        </w:rPr>
        <w:t xml:space="preserve"> </w:t>
      </w:r>
      <w:r w:rsidRPr="007E126B">
        <w:rPr>
          <w:rFonts w:cs="EUAlbertina"/>
          <w:color w:val="000000"/>
          <w:szCs w:val="18"/>
        </w:rPr>
        <w:t>nationella handlingsplanen. Programområde C och E genomförs enbart nationellt och</w:t>
      </w:r>
      <w:r w:rsidR="007E126B">
        <w:rPr>
          <w:rFonts w:cs="EUAlbertina"/>
          <w:color w:val="000000"/>
          <w:szCs w:val="18"/>
        </w:rPr>
        <w:t xml:space="preserve"> </w:t>
      </w:r>
      <w:r w:rsidRPr="007E126B">
        <w:rPr>
          <w:rFonts w:cs="EUAlbertina"/>
          <w:color w:val="000000"/>
          <w:szCs w:val="18"/>
        </w:rPr>
        <w:t>inkluderas i den nationella handlingsplanen. Programområde D ska genomföras regionalt i</w:t>
      </w:r>
      <w:r w:rsidR="007E126B">
        <w:rPr>
          <w:rFonts w:cs="EUAlbertina"/>
          <w:color w:val="000000"/>
          <w:szCs w:val="18"/>
        </w:rPr>
        <w:t xml:space="preserve"> </w:t>
      </w:r>
      <w:r w:rsidRPr="007E126B">
        <w:rPr>
          <w:rFonts w:cs="EUAlbertina"/>
          <w:color w:val="000000"/>
          <w:szCs w:val="18"/>
        </w:rPr>
        <w:t>berörda regioner och inkluderas i handlingsplanerna för de berörda regionerna. Både den</w:t>
      </w:r>
      <w:r w:rsidR="007E126B">
        <w:rPr>
          <w:rFonts w:cs="EUAlbertina"/>
          <w:color w:val="000000"/>
          <w:szCs w:val="18"/>
        </w:rPr>
        <w:t xml:space="preserve"> </w:t>
      </w:r>
      <w:r w:rsidRPr="007E126B">
        <w:rPr>
          <w:rFonts w:cs="EUAlbertina"/>
          <w:color w:val="000000"/>
          <w:szCs w:val="18"/>
        </w:rPr>
        <w:t>nationella handlingsplanen och de regionala handlingsplanerna är formellt styrande dokument som ska fastställas inom ramen för programmet efter det att programmet har godkänts av EU</w:t>
      </w:r>
      <w:r w:rsidR="007E126B" w:rsidRPr="007E126B">
        <w:rPr>
          <w:rFonts w:cs="EUAlbertina"/>
          <w:color w:val="000000"/>
          <w:szCs w:val="18"/>
        </w:rPr>
        <w:t xml:space="preserve"> </w:t>
      </w:r>
      <w:r w:rsidRPr="007E126B">
        <w:rPr>
          <w:rFonts w:cs="EUAlbertina"/>
          <w:color w:val="000000"/>
          <w:szCs w:val="18"/>
        </w:rPr>
        <w:t>kommissionen.</w:t>
      </w:r>
    </w:p>
    <w:p w14:paraId="287D94B1" w14:textId="77777777" w:rsidR="00220C28" w:rsidRPr="00140E22" w:rsidRDefault="00220C28" w:rsidP="00220C28">
      <w:pPr>
        <w:autoSpaceDE w:val="0"/>
        <w:autoSpaceDN w:val="0"/>
        <w:adjustRightInd w:val="0"/>
        <w:rPr>
          <w:rFonts w:cstheme="minorHAnsi"/>
          <w:b/>
          <w:bCs/>
          <w:szCs w:val="18"/>
        </w:rPr>
      </w:pPr>
      <w:r w:rsidRPr="00140E22">
        <w:rPr>
          <w:rFonts w:cstheme="minorHAnsi"/>
          <w:b/>
          <w:bCs/>
          <w:szCs w:val="18"/>
        </w:rPr>
        <w:t>Regionala handlingsplaner</w:t>
      </w:r>
    </w:p>
    <w:p w14:paraId="293036E9" w14:textId="3D19E862" w:rsidR="00220C28" w:rsidRPr="00140E22" w:rsidRDefault="00220C28" w:rsidP="00220C28">
      <w:pPr>
        <w:autoSpaceDE w:val="0"/>
        <w:autoSpaceDN w:val="0"/>
        <w:adjustRightInd w:val="0"/>
        <w:rPr>
          <w:rFonts w:cstheme="minorHAnsi"/>
          <w:szCs w:val="18"/>
        </w:rPr>
      </w:pPr>
      <w:r w:rsidRPr="00140E22">
        <w:rPr>
          <w:rFonts w:cstheme="minorHAnsi"/>
          <w:szCs w:val="18"/>
        </w:rPr>
        <w:t>Svenska ESF-rådet fick i uppgift att förbereda arbetet med de regionala handlingsplanerna</w:t>
      </w:r>
      <w:r w:rsidR="007E126B">
        <w:rPr>
          <w:rFonts w:cstheme="minorHAnsi"/>
          <w:szCs w:val="18"/>
        </w:rPr>
        <w:t xml:space="preserve"> </w:t>
      </w:r>
      <w:r w:rsidRPr="00140E22">
        <w:rPr>
          <w:rFonts w:cstheme="minorHAnsi"/>
          <w:szCs w:val="18"/>
        </w:rPr>
        <w:t>tillsammans med uppdraget att ta fram ett förslag på nytt program. De regionala</w:t>
      </w:r>
      <w:r>
        <w:rPr>
          <w:rFonts w:cstheme="minorHAnsi"/>
          <w:szCs w:val="18"/>
        </w:rPr>
        <w:t xml:space="preserve"> </w:t>
      </w:r>
      <w:r w:rsidRPr="00140E22">
        <w:rPr>
          <w:rFonts w:cstheme="minorHAnsi"/>
          <w:szCs w:val="18"/>
        </w:rPr>
        <w:t>handlingsplanerna ska bygga på en socioekonomisk analys av regionala förutsättningar.</w:t>
      </w:r>
      <w:r w:rsidR="007E126B">
        <w:rPr>
          <w:rFonts w:cstheme="minorHAnsi"/>
          <w:szCs w:val="18"/>
        </w:rPr>
        <w:t xml:space="preserve"> </w:t>
      </w:r>
      <w:r w:rsidRPr="00140E22">
        <w:rPr>
          <w:rFonts w:cstheme="minorHAnsi"/>
          <w:szCs w:val="18"/>
        </w:rPr>
        <w:t>Utifrån analysen ska en regional anpassning av programmet göras och prioriteringar</w:t>
      </w:r>
      <w:r>
        <w:rPr>
          <w:rFonts w:cstheme="minorHAnsi"/>
          <w:szCs w:val="18"/>
        </w:rPr>
        <w:t xml:space="preserve"> </w:t>
      </w:r>
      <w:r w:rsidRPr="00140E22">
        <w:rPr>
          <w:rFonts w:cstheme="minorHAnsi"/>
          <w:szCs w:val="18"/>
        </w:rPr>
        <w:t>presenteras. Satsningar med regionala medel ska göras utifrån de prioriteringar som angetts i handlingsplanen. När förvaltande myndighet ska göra en utlysning med regionala medel, ska samråd om de utlysningsspecifika kriterierna ske med relevant strukturfondspartnerskap innan utlysningen publiceras. Förvaltande myndighet fattar beslut om satsningar med regionala medel.</w:t>
      </w:r>
    </w:p>
    <w:p w14:paraId="011B587F" w14:textId="2BB313F0" w:rsidR="00220C28" w:rsidRPr="008E57B7" w:rsidRDefault="00220C28" w:rsidP="00220C28">
      <w:pPr>
        <w:autoSpaceDE w:val="0"/>
        <w:autoSpaceDN w:val="0"/>
        <w:adjustRightInd w:val="0"/>
        <w:rPr>
          <w:rFonts w:cstheme="minorHAnsi"/>
          <w:szCs w:val="18"/>
        </w:rPr>
      </w:pPr>
      <w:r w:rsidRPr="00140E22">
        <w:rPr>
          <w:rFonts w:cstheme="minorHAnsi"/>
          <w:szCs w:val="18"/>
        </w:rPr>
        <w:t>De regionala handlingsplanerna ska omfatta insatser inom programområde A. De nordliga</w:t>
      </w:r>
      <w:r w:rsidR="007E126B">
        <w:rPr>
          <w:rFonts w:cstheme="minorHAnsi"/>
          <w:szCs w:val="18"/>
        </w:rPr>
        <w:t xml:space="preserve"> </w:t>
      </w:r>
      <w:r w:rsidRPr="00140E22">
        <w:rPr>
          <w:rFonts w:cstheme="minorHAnsi"/>
          <w:szCs w:val="18"/>
        </w:rPr>
        <w:t>regionerna, Övre Norrland och Mellersta Norrland, ska även inkludera insatser inom</w:t>
      </w:r>
      <w:r>
        <w:rPr>
          <w:rFonts w:cstheme="minorHAnsi"/>
          <w:szCs w:val="18"/>
        </w:rPr>
        <w:t xml:space="preserve"> </w:t>
      </w:r>
      <w:r w:rsidRPr="00140E22">
        <w:rPr>
          <w:rFonts w:cstheme="minorHAnsi"/>
          <w:szCs w:val="18"/>
        </w:rPr>
        <w:t>programområde D i sina respektive handlingsplaner samt verka för att insatser inom</w:t>
      </w:r>
      <w:r>
        <w:rPr>
          <w:rFonts w:cstheme="minorHAnsi"/>
          <w:szCs w:val="18"/>
        </w:rPr>
        <w:t xml:space="preserve"> </w:t>
      </w:r>
      <w:r w:rsidRPr="008E57B7">
        <w:rPr>
          <w:rFonts w:cstheme="minorHAnsi"/>
          <w:szCs w:val="18"/>
        </w:rPr>
        <w:t>programområde A och D kompletterar varandra.</w:t>
      </w:r>
    </w:p>
    <w:p w14:paraId="623F1B4F" w14:textId="77777777" w:rsidR="00220C28" w:rsidRPr="00140E22" w:rsidRDefault="00220C28" w:rsidP="00220C28">
      <w:pPr>
        <w:autoSpaceDE w:val="0"/>
        <w:autoSpaceDN w:val="0"/>
        <w:adjustRightInd w:val="0"/>
        <w:rPr>
          <w:rFonts w:cstheme="minorHAnsi"/>
          <w:b/>
          <w:bCs/>
          <w:szCs w:val="18"/>
        </w:rPr>
      </w:pPr>
      <w:r w:rsidRPr="00140E22">
        <w:rPr>
          <w:rFonts w:cstheme="minorHAnsi"/>
          <w:b/>
          <w:bCs/>
          <w:szCs w:val="18"/>
        </w:rPr>
        <w:t>Nationell handlingsplan</w:t>
      </w:r>
    </w:p>
    <w:p w14:paraId="2A0797EE" w14:textId="77777777" w:rsidR="00220C28" w:rsidRPr="00140E22" w:rsidRDefault="00220C28" w:rsidP="00220C28">
      <w:pPr>
        <w:autoSpaceDE w:val="0"/>
        <w:autoSpaceDN w:val="0"/>
        <w:adjustRightInd w:val="0"/>
        <w:rPr>
          <w:rFonts w:cstheme="minorHAnsi"/>
          <w:szCs w:val="18"/>
        </w:rPr>
      </w:pPr>
      <w:r w:rsidRPr="00140E22">
        <w:rPr>
          <w:rFonts w:cstheme="minorHAnsi"/>
          <w:szCs w:val="18"/>
        </w:rPr>
        <w:t>För programmedlen som fördelas på nationell nivå ska en nationell handlingsplan tas fram. Den nationella handlingsplanen ska fungera som en bro mellan programmet och de nationella satsningarna och vara förankrad hos berörda aktörer. Nationella satsningar kan omfatta en del, flera delar eller hela landet beroende på syftet med satsningarna. Nationella satsningar bör där så är relevant innebära samverkan mellan nationella aktörer såsom Arbetsförmedlingen, Försäkringskassan, nationella utbildningsmyndigheter, Tillväxtverket, Sveriges kommuner och regioner, arbetsmarknadens parter och organisationer, branschförbund såväl som med regionala och lokala företrädare, såsom kommuner och regioner.</w:t>
      </w:r>
    </w:p>
    <w:p w14:paraId="005C48C0" w14:textId="77777777" w:rsidR="00220C28" w:rsidRPr="00140E22" w:rsidRDefault="00220C28" w:rsidP="00220C28">
      <w:pPr>
        <w:autoSpaceDE w:val="0"/>
        <w:autoSpaceDN w:val="0"/>
        <w:adjustRightInd w:val="0"/>
        <w:rPr>
          <w:rFonts w:cstheme="minorHAnsi"/>
          <w:szCs w:val="18"/>
        </w:rPr>
      </w:pPr>
      <w:r w:rsidRPr="00140E22">
        <w:rPr>
          <w:rFonts w:cstheme="minorHAnsi"/>
          <w:szCs w:val="18"/>
        </w:rPr>
        <w:t>Förvaltande myndighet ska vid behov samråda med berörda aktörer inför kommande</w:t>
      </w:r>
      <w:r>
        <w:rPr>
          <w:rFonts w:cstheme="minorHAnsi"/>
          <w:szCs w:val="18"/>
        </w:rPr>
        <w:t xml:space="preserve"> </w:t>
      </w:r>
      <w:r w:rsidRPr="00140E22">
        <w:rPr>
          <w:rFonts w:cstheme="minorHAnsi"/>
          <w:szCs w:val="18"/>
        </w:rPr>
        <w:t xml:space="preserve">satsningar med nationella medel utifrån den nationella handlingsplanen. Det är förvaltande myndighet som beslutar om nationella projekt. Förvaltande myndighet ansvarar också för att i beredningen av inkomna ansökningar, vid behov, rådgöra med berörda aktörer. Den nationella handlingsplanen ska omfatta programområde A, C och </w:t>
      </w:r>
      <w:r w:rsidRPr="00140E22">
        <w:rPr>
          <w:rFonts w:cstheme="minorHAnsi"/>
          <w:szCs w:val="18"/>
        </w:rPr>
        <w:lastRenderedPageBreak/>
        <w:t>E. Insatserna inom programområde A ska genomföras både regionalt och nationellt, därför är det viktigt att de regionala handlingsplanerna och den nationella handlingsplanen kompletterar varandra.</w:t>
      </w:r>
    </w:p>
    <w:p w14:paraId="1540C4AA" w14:textId="7B9870EE" w:rsidR="00220C28" w:rsidRPr="00140E22" w:rsidRDefault="00220C28" w:rsidP="00220C28">
      <w:pPr>
        <w:autoSpaceDE w:val="0"/>
        <w:autoSpaceDN w:val="0"/>
        <w:adjustRightInd w:val="0"/>
        <w:rPr>
          <w:rFonts w:cstheme="minorHAnsi"/>
          <w:szCs w:val="18"/>
        </w:rPr>
      </w:pPr>
      <w:r w:rsidRPr="00140E22">
        <w:rPr>
          <w:rFonts w:cstheme="minorHAnsi"/>
          <w:szCs w:val="18"/>
        </w:rPr>
        <w:t>Programområde C, som omfattar insatser för att främja social integrering av människor som riskerar att drabbas av fattigdom eller social utestängning, kommer endast att beslutas på nationell nivå. Programområde E innehåller insatser som främjar social innovation och kommer att beslutas på nationell nivå.</w:t>
      </w:r>
      <w:r w:rsidR="007E126B">
        <w:rPr>
          <w:rFonts w:cstheme="minorHAnsi"/>
          <w:szCs w:val="18"/>
        </w:rPr>
        <w:t xml:space="preserve"> </w:t>
      </w:r>
      <w:r w:rsidRPr="00140E22">
        <w:rPr>
          <w:rFonts w:cstheme="minorHAnsi"/>
          <w:szCs w:val="18"/>
        </w:rPr>
        <w:t>Regeringen kan under programperioden genom uppdrag till Svenska ESF-rådet komma att</w:t>
      </w:r>
      <w:r w:rsidR="007E126B">
        <w:rPr>
          <w:rFonts w:cstheme="minorHAnsi"/>
          <w:szCs w:val="18"/>
        </w:rPr>
        <w:t xml:space="preserve"> </w:t>
      </w:r>
      <w:r w:rsidRPr="00140E22">
        <w:rPr>
          <w:rFonts w:cstheme="minorHAnsi"/>
          <w:szCs w:val="18"/>
        </w:rPr>
        <w:t>ange närmare inriktning på kommande utlysningar inom ramen för programmet.</w:t>
      </w:r>
    </w:p>
    <w:p w14:paraId="1D567607" w14:textId="2CFBFD86" w:rsidR="00327797" w:rsidRPr="00AD7B57" w:rsidRDefault="00327797" w:rsidP="00220C28">
      <w:pPr>
        <w:pStyle w:val="Underskrift"/>
      </w:pPr>
    </w:p>
    <w:sectPr w:rsidR="00327797" w:rsidRPr="00AD7B57" w:rsidSect="00423039">
      <w:headerReference w:type="default" r:id="rId9"/>
      <w:footerReference w:type="default" r:id="rId10"/>
      <w:headerReference w:type="first" r:id="rId11"/>
      <w:footerReference w:type="first" r:id="rId12"/>
      <w:pgSz w:w="11906" w:h="16838" w:code="9"/>
      <w:pgMar w:top="2135"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16C1" w14:textId="77777777" w:rsidR="00220C28" w:rsidRDefault="00220C28" w:rsidP="00EC508B">
      <w:r>
        <w:separator/>
      </w:r>
    </w:p>
    <w:p w14:paraId="6D3CBF3B" w14:textId="77777777" w:rsidR="00220C28" w:rsidRDefault="00220C28" w:rsidP="00EC508B"/>
    <w:p w14:paraId="4E812CF6" w14:textId="77777777" w:rsidR="00220C28" w:rsidRDefault="00220C28" w:rsidP="00EC508B"/>
    <w:p w14:paraId="4CA6B89A" w14:textId="77777777" w:rsidR="00220C28" w:rsidRDefault="00220C28" w:rsidP="00EC508B"/>
    <w:p w14:paraId="3304C09E" w14:textId="77777777" w:rsidR="00220C28" w:rsidRDefault="00220C28" w:rsidP="00EC508B"/>
    <w:p w14:paraId="585E2A9D" w14:textId="77777777" w:rsidR="00220C28" w:rsidRDefault="00220C28" w:rsidP="00EC508B"/>
  </w:endnote>
  <w:endnote w:type="continuationSeparator" w:id="0">
    <w:p w14:paraId="1CE3828A" w14:textId="77777777" w:rsidR="00220C28" w:rsidRDefault="00220C28" w:rsidP="00EC508B">
      <w:r>
        <w:continuationSeparator/>
      </w:r>
    </w:p>
    <w:p w14:paraId="5F139A55" w14:textId="77777777" w:rsidR="00220C28" w:rsidRDefault="00220C28" w:rsidP="00EC508B"/>
    <w:p w14:paraId="0E14A38C" w14:textId="77777777" w:rsidR="00220C28" w:rsidRDefault="00220C28" w:rsidP="00EC508B"/>
    <w:p w14:paraId="48D2DE37" w14:textId="77777777" w:rsidR="00220C28" w:rsidRDefault="00220C28" w:rsidP="00EC508B"/>
    <w:p w14:paraId="5CA3D233" w14:textId="77777777" w:rsidR="00220C28" w:rsidRDefault="00220C28" w:rsidP="00EC508B"/>
    <w:p w14:paraId="13C3CFCA" w14:textId="77777777" w:rsidR="00220C28" w:rsidRDefault="00220C28"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423039" w:rsidRPr="00E9154D" w14:paraId="54AFAD6A" w14:textId="77777777" w:rsidTr="000521B2">
      <w:trPr>
        <w:trHeight w:val="57"/>
      </w:trPr>
      <w:tc>
        <w:tcPr>
          <w:tcW w:w="4285" w:type="dxa"/>
          <w:tcBorders>
            <w:top w:val="single" w:sz="12" w:space="0" w:color="2F99AF"/>
          </w:tcBorders>
        </w:tcPr>
        <w:p w14:paraId="6526C833" w14:textId="77777777" w:rsidR="00423039" w:rsidRPr="0044377D" w:rsidRDefault="00423039" w:rsidP="00423039">
          <w:pPr>
            <w:pStyle w:val="Sidfot"/>
            <w:spacing w:line="240" w:lineRule="auto"/>
          </w:pPr>
        </w:p>
      </w:tc>
      <w:tc>
        <w:tcPr>
          <w:tcW w:w="3104" w:type="dxa"/>
          <w:tcBorders>
            <w:top w:val="single" w:sz="12" w:space="0" w:color="2F99AF"/>
          </w:tcBorders>
          <w:vAlign w:val="bottom"/>
        </w:tcPr>
        <w:p w14:paraId="1BDB2E16" w14:textId="77777777" w:rsidR="00423039" w:rsidRPr="00E9154D" w:rsidRDefault="00423039" w:rsidP="00423039">
          <w:pPr>
            <w:spacing w:after="0" w:line="240" w:lineRule="auto"/>
          </w:pPr>
        </w:p>
      </w:tc>
      <w:tc>
        <w:tcPr>
          <w:tcW w:w="3243" w:type="dxa"/>
          <w:gridSpan w:val="2"/>
          <w:tcBorders>
            <w:top w:val="single" w:sz="12" w:space="0" w:color="2F99AF"/>
          </w:tcBorders>
          <w:vAlign w:val="bottom"/>
        </w:tcPr>
        <w:p w14:paraId="4283C880" w14:textId="77777777" w:rsidR="00423039" w:rsidRPr="00E9154D" w:rsidRDefault="00423039" w:rsidP="00423039">
          <w:pPr>
            <w:spacing w:after="0" w:line="240" w:lineRule="auto"/>
          </w:pPr>
        </w:p>
      </w:tc>
    </w:tr>
    <w:tr w:rsidR="00423039" w:rsidRPr="00E9154D" w14:paraId="4F9B3714" w14:textId="77777777" w:rsidTr="000521B2">
      <w:trPr>
        <w:gridAfter w:val="1"/>
        <w:wAfter w:w="142" w:type="dxa"/>
        <w:trHeight w:val="907"/>
      </w:trPr>
      <w:tc>
        <w:tcPr>
          <w:tcW w:w="4285" w:type="dxa"/>
          <w:vAlign w:val="bottom"/>
        </w:tcPr>
        <w:p w14:paraId="729CB051" w14:textId="77777777" w:rsidR="00423039" w:rsidRPr="002E1B6C" w:rsidRDefault="00423039" w:rsidP="00423039">
          <w:pPr>
            <w:pStyle w:val="Sidfot"/>
          </w:pPr>
          <w:r w:rsidRPr="002E1B6C">
            <w:rPr>
              <w:noProof/>
            </w:rPr>
            <w:drawing>
              <wp:anchor distT="0" distB="0" distL="114300" distR="114300" simplePos="0" relativeHeight="251672576" behindDoc="0" locked="0" layoutInCell="1" allowOverlap="1" wp14:anchorId="3B5C58A5" wp14:editId="60C192BF">
                <wp:simplePos x="0" y="0"/>
                <wp:positionH relativeFrom="column">
                  <wp:posOffset>635</wp:posOffset>
                </wp:positionH>
                <wp:positionV relativeFrom="paragraph">
                  <wp:posOffset>-387985</wp:posOffset>
                </wp:positionV>
                <wp:extent cx="550545" cy="496570"/>
                <wp:effectExtent l="0" t="0" r="0" b="0"/>
                <wp:wrapNone/>
                <wp:docPr id="4" name="Bildobjekt 4" descr="EU-flagga&#10;Europeiska unionen&#10;Europeiska socialf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U-flagga&#10;Europeiska unionen&#10;Europeiska socialfonden"/>
                        <pic:cNvPicPr/>
                      </pic:nvPicPr>
                      <pic:blipFill>
                        <a:blip r:embed="rId1">
                          <a:extLst>
                            <a:ext uri="{28A0092B-C50C-407E-A947-70E740481C1C}">
                              <a14:useLocalDpi xmlns:a14="http://schemas.microsoft.com/office/drawing/2010/main" val="0"/>
                            </a:ext>
                          </a:extLst>
                        </a:blip>
                        <a:stretch>
                          <a:fillRect/>
                        </a:stretch>
                      </pic:blipFill>
                      <pic:spPr>
                        <a:xfrm>
                          <a:off x="0" y="0"/>
                          <a:ext cx="550545" cy="496570"/>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00251A73" w14:textId="77777777" w:rsidR="00423039" w:rsidRPr="002E1B6C" w:rsidRDefault="00423039" w:rsidP="00423039">
          <w:pPr>
            <w:pStyle w:val="Sidfot"/>
          </w:pPr>
        </w:p>
      </w:tc>
      <w:tc>
        <w:tcPr>
          <w:tcW w:w="3101" w:type="dxa"/>
        </w:tcPr>
        <w:p w14:paraId="2A746D8B" w14:textId="77777777" w:rsidR="00423039" w:rsidRPr="002E1B6C" w:rsidRDefault="00423039" w:rsidP="00423039">
          <w:pPr>
            <w:pStyle w:val="Sidfot"/>
          </w:pPr>
        </w:p>
      </w:tc>
    </w:tr>
  </w:tbl>
  <w:p w14:paraId="109CCA5E" w14:textId="77777777" w:rsidR="00742460" w:rsidRPr="00423039" w:rsidRDefault="00742460" w:rsidP="0042303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C31606" w:rsidRPr="00E9154D" w14:paraId="7BFE35B9" w14:textId="77777777" w:rsidTr="00766A04">
      <w:trPr>
        <w:trHeight w:val="57"/>
      </w:trPr>
      <w:tc>
        <w:tcPr>
          <w:tcW w:w="4285" w:type="dxa"/>
          <w:tcBorders>
            <w:top w:val="single" w:sz="12" w:space="0" w:color="2F99AF"/>
          </w:tcBorders>
        </w:tcPr>
        <w:p w14:paraId="02F6BCB6" w14:textId="77777777" w:rsidR="00C31606" w:rsidRPr="0044377D" w:rsidRDefault="00C31606" w:rsidP="00C31606">
          <w:pPr>
            <w:pStyle w:val="Sidfot"/>
            <w:spacing w:line="240" w:lineRule="auto"/>
          </w:pPr>
        </w:p>
      </w:tc>
      <w:tc>
        <w:tcPr>
          <w:tcW w:w="3104" w:type="dxa"/>
          <w:tcBorders>
            <w:top w:val="single" w:sz="12" w:space="0" w:color="2F99AF"/>
          </w:tcBorders>
          <w:vAlign w:val="bottom"/>
        </w:tcPr>
        <w:p w14:paraId="4EB24CC9" w14:textId="77777777" w:rsidR="00C31606" w:rsidRPr="00E9154D" w:rsidRDefault="00C31606" w:rsidP="00C31606">
          <w:pPr>
            <w:spacing w:after="0" w:line="240" w:lineRule="auto"/>
          </w:pPr>
        </w:p>
      </w:tc>
      <w:tc>
        <w:tcPr>
          <w:tcW w:w="3243" w:type="dxa"/>
          <w:gridSpan w:val="2"/>
          <w:tcBorders>
            <w:top w:val="single" w:sz="12" w:space="0" w:color="2F99AF"/>
          </w:tcBorders>
          <w:vAlign w:val="bottom"/>
        </w:tcPr>
        <w:p w14:paraId="29389D7B" w14:textId="77777777" w:rsidR="00C31606" w:rsidRPr="00E9154D" w:rsidRDefault="00C31606" w:rsidP="00C31606">
          <w:pPr>
            <w:spacing w:after="0" w:line="240" w:lineRule="auto"/>
          </w:pPr>
          <w:bookmarkStart w:id="2" w:name="xxFooterCell2"/>
          <w:bookmarkEnd w:id="2"/>
        </w:p>
      </w:tc>
    </w:tr>
    <w:tr w:rsidR="00C31606" w:rsidRPr="00E9154D" w14:paraId="3BD1B2BB" w14:textId="77777777" w:rsidTr="00766A04">
      <w:trPr>
        <w:gridAfter w:val="1"/>
        <w:wAfter w:w="142" w:type="dxa"/>
        <w:trHeight w:val="907"/>
      </w:trPr>
      <w:tc>
        <w:tcPr>
          <w:tcW w:w="4285" w:type="dxa"/>
          <w:vAlign w:val="bottom"/>
        </w:tcPr>
        <w:p w14:paraId="625FE354" w14:textId="77777777" w:rsidR="00C31606" w:rsidRPr="002E1B6C" w:rsidRDefault="00C31606" w:rsidP="00C31606">
          <w:pPr>
            <w:pStyle w:val="Sidfot"/>
          </w:pPr>
          <w:r w:rsidRPr="002E1B6C">
            <w:rPr>
              <w:noProof/>
            </w:rPr>
            <w:drawing>
              <wp:anchor distT="0" distB="0" distL="114300" distR="114300" simplePos="0" relativeHeight="251674624" behindDoc="0" locked="0" layoutInCell="1" allowOverlap="1" wp14:anchorId="37BA5984" wp14:editId="0308E21E">
                <wp:simplePos x="0" y="0"/>
                <wp:positionH relativeFrom="column">
                  <wp:posOffset>635</wp:posOffset>
                </wp:positionH>
                <wp:positionV relativeFrom="paragraph">
                  <wp:posOffset>-387985</wp:posOffset>
                </wp:positionV>
                <wp:extent cx="550545" cy="496570"/>
                <wp:effectExtent l="0" t="0" r="0" b="0"/>
                <wp:wrapNone/>
                <wp:docPr id="1" name="Bildobjekt 1" descr="EU-flagga&#10;Europeiska unionen&#10;Europeiska socialf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U-flagga&#10;Europeiska unionen&#10;Europeiska socialfonden"/>
                        <pic:cNvPicPr/>
                      </pic:nvPicPr>
                      <pic:blipFill>
                        <a:blip r:embed="rId1">
                          <a:extLst>
                            <a:ext uri="{28A0092B-C50C-407E-A947-70E740481C1C}">
                              <a14:useLocalDpi xmlns:a14="http://schemas.microsoft.com/office/drawing/2010/main" val="0"/>
                            </a:ext>
                          </a:extLst>
                        </a:blip>
                        <a:stretch>
                          <a:fillRect/>
                        </a:stretch>
                      </pic:blipFill>
                      <pic:spPr>
                        <a:xfrm>
                          <a:off x="0" y="0"/>
                          <a:ext cx="550545" cy="496570"/>
                        </a:xfrm>
                        <a:prstGeom prst="rect">
                          <a:avLst/>
                        </a:prstGeom>
                      </pic:spPr>
                    </pic:pic>
                  </a:graphicData>
                </a:graphic>
                <wp14:sizeRelH relativeFrom="margin">
                  <wp14:pctWidth>0</wp14:pctWidth>
                </wp14:sizeRelH>
                <wp14:sizeRelV relativeFrom="margin">
                  <wp14:pctHeight>0</wp14:pctHeight>
                </wp14:sizeRelV>
              </wp:anchor>
            </w:drawing>
          </w:r>
        </w:p>
      </w:tc>
      <w:tc>
        <w:tcPr>
          <w:tcW w:w="3104" w:type="dxa"/>
        </w:tcPr>
        <w:p w14:paraId="13A107BA" w14:textId="77777777" w:rsidR="00C31606" w:rsidRPr="002E1B6C" w:rsidRDefault="00C31606" w:rsidP="00C31606">
          <w:pPr>
            <w:pStyle w:val="Sidfot"/>
          </w:pPr>
          <w:r w:rsidRPr="002E1B6C">
            <w:t>Svenska ESF-rådet Huvudkontoret</w:t>
          </w:r>
        </w:p>
        <w:p w14:paraId="23B227DD" w14:textId="77777777" w:rsidR="00C31606" w:rsidRPr="002E1B6C" w:rsidRDefault="00C31606" w:rsidP="00C31606">
          <w:pPr>
            <w:pStyle w:val="Sidfot"/>
          </w:pPr>
          <w:r w:rsidRPr="002E1B6C">
            <w:t xml:space="preserve">Besöksadress: Drottninggatan 9, 3 </w:t>
          </w:r>
          <w:proofErr w:type="spellStart"/>
          <w:r w:rsidRPr="002E1B6C">
            <w:t>tr</w:t>
          </w:r>
          <w:proofErr w:type="spellEnd"/>
          <w:r w:rsidRPr="002E1B6C">
            <w:t xml:space="preserve"> </w:t>
          </w:r>
        </w:p>
        <w:p w14:paraId="04B01318" w14:textId="77777777" w:rsidR="00C31606" w:rsidRPr="002E1B6C" w:rsidRDefault="00C31606" w:rsidP="00C31606">
          <w:pPr>
            <w:pStyle w:val="Sidfot"/>
          </w:pPr>
          <w:r w:rsidRPr="002E1B6C">
            <w:t>Postadress: Box 397, 801 05 Gävle</w:t>
          </w:r>
        </w:p>
      </w:tc>
      <w:tc>
        <w:tcPr>
          <w:tcW w:w="3101" w:type="dxa"/>
        </w:tcPr>
        <w:p w14:paraId="71D92FF8" w14:textId="77777777" w:rsidR="00C31606" w:rsidRPr="002E1B6C" w:rsidRDefault="00C31606" w:rsidP="00C31606">
          <w:pPr>
            <w:pStyle w:val="Sidfot"/>
          </w:pPr>
          <w:r w:rsidRPr="002E1B6C">
            <w:t>Telefon: 020-33 33 90</w:t>
          </w:r>
        </w:p>
        <w:p w14:paraId="34123C66" w14:textId="77777777" w:rsidR="00C31606" w:rsidRPr="002E1B6C" w:rsidRDefault="00C31606" w:rsidP="00C31606">
          <w:pPr>
            <w:pStyle w:val="Sidfot"/>
          </w:pPr>
          <w:r w:rsidRPr="002E1B6C">
            <w:t>Fax: 08-579 171 01</w:t>
          </w:r>
        </w:p>
        <w:p w14:paraId="3AA3DFE9" w14:textId="77777777" w:rsidR="00C31606" w:rsidRPr="002E1B6C" w:rsidRDefault="00C31606" w:rsidP="00C31606">
          <w:pPr>
            <w:pStyle w:val="Sidfot"/>
          </w:pPr>
          <w:r w:rsidRPr="002E1B6C">
            <w:t>Webbplats: www.esf.se</w:t>
          </w:r>
        </w:p>
      </w:tc>
    </w:tr>
  </w:tbl>
  <w:p w14:paraId="76C2758A" w14:textId="77777777" w:rsidR="0062631A" w:rsidRPr="00C31606" w:rsidRDefault="0062631A" w:rsidP="00C316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BB3E" w14:textId="77777777" w:rsidR="00220C28" w:rsidRDefault="00220C28" w:rsidP="00423039">
      <w:pPr>
        <w:spacing w:after="60" w:line="200" w:lineRule="exact"/>
      </w:pPr>
      <w:r>
        <w:separator/>
      </w:r>
    </w:p>
  </w:footnote>
  <w:footnote w:type="continuationSeparator" w:id="0">
    <w:p w14:paraId="7744A128" w14:textId="77777777" w:rsidR="00220C28" w:rsidRDefault="00220C28" w:rsidP="00423039">
      <w:pPr>
        <w:spacing w:after="60" w:line="200" w:lineRule="exact"/>
      </w:pPr>
      <w:r>
        <w:continuationSeparator/>
      </w:r>
    </w:p>
  </w:footnote>
  <w:footnote w:type="continuationNotice" w:id="1">
    <w:p w14:paraId="2EAB6DD7" w14:textId="77777777" w:rsidR="00220C28" w:rsidRDefault="00220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423039" w:rsidRPr="00E9154D" w14:paraId="299DBAB1" w14:textId="77777777" w:rsidTr="000521B2">
      <w:tc>
        <w:tcPr>
          <w:tcW w:w="4196" w:type="dxa"/>
          <w:vMerge w:val="restart"/>
        </w:tcPr>
        <w:p w14:paraId="5ED737DA" w14:textId="77777777" w:rsidR="00423039" w:rsidRPr="00E9154D" w:rsidRDefault="00423039" w:rsidP="00423039">
          <w:pPr>
            <w:pStyle w:val="Topp"/>
            <w:spacing w:after="0"/>
          </w:pPr>
          <w:r>
            <w:rPr>
              <w:noProof/>
            </w:rPr>
            <w:drawing>
              <wp:anchor distT="0" distB="0" distL="114300" distR="114300" simplePos="0" relativeHeight="251670528" behindDoc="0" locked="0" layoutInCell="1" allowOverlap="1" wp14:anchorId="7F5205B8" wp14:editId="08B24DB9">
                <wp:simplePos x="0" y="0"/>
                <wp:positionH relativeFrom="column">
                  <wp:posOffset>309640</wp:posOffset>
                </wp:positionH>
                <wp:positionV relativeFrom="paragraph">
                  <wp:posOffset>627</wp:posOffset>
                </wp:positionV>
                <wp:extent cx="436006" cy="395605"/>
                <wp:effectExtent l="0" t="0" r="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69778"/>
                        <a:stretch/>
                      </pic:blipFill>
                      <pic:spPr bwMode="auto">
                        <a:xfrm>
                          <a:off x="0" y="0"/>
                          <a:ext cx="436441"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59" w:type="dxa"/>
        </w:tcPr>
        <w:p w14:paraId="01869984" w14:textId="77777777" w:rsidR="00423039" w:rsidRDefault="00423039" w:rsidP="00423039">
          <w:pPr>
            <w:pStyle w:val="Etikett"/>
          </w:pPr>
        </w:p>
      </w:tc>
      <w:tc>
        <w:tcPr>
          <w:tcW w:w="2835" w:type="dxa"/>
        </w:tcPr>
        <w:p w14:paraId="23BBFEF9" w14:textId="77777777" w:rsidR="00423039" w:rsidRPr="00E138C1" w:rsidRDefault="00423039" w:rsidP="00423039">
          <w:pPr>
            <w:pStyle w:val="Etikett"/>
          </w:pPr>
        </w:p>
      </w:tc>
      <w:tc>
        <w:tcPr>
          <w:tcW w:w="1843" w:type="dxa"/>
        </w:tcPr>
        <w:p w14:paraId="7E315BC3" w14:textId="77777777" w:rsidR="00423039" w:rsidRPr="00E138C1" w:rsidRDefault="00423039" w:rsidP="00423039">
          <w:pPr>
            <w:pStyle w:val="Etikett"/>
          </w:pPr>
        </w:p>
      </w:tc>
      <w:tc>
        <w:tcPr>
          <w:tcW w:w="492" w:type="dxa"/>
        </w:tcPr>
        <w:p w14:paraId="469A5438" w14:textId="77777777" w:rsidR="00423039" w:rsidRPr="00E138C1" w:rsidRDefault="00423039" w:rsidP="00423039">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423039" w:rsidRPr="00E9154D" w14:paraId="62031BDF" w14:textId="77777777" w:rsidTr="000521B2">
      <w:trPr>
        <w:gridAfter w:val="1"/>
        <w:wAfter w:w="492" w:type="dxa"/>
      </w:trPr>
      <w:tc>
        <w:tcPr>
          <w:tcW w:w="4196" w:type="dxa"/>
          <w:vMerge/>
        </w:tcPr>
        <w:p w14:paraId="230FE3AE" w14:textId="77777777" w:rsidR="00423039" w:rsidRPr="00E9154D" w:rsidRDefault="00423039" w:rsidP="00423039">
          <w:pPr>
            <w:pStyle w:val="Topp"/>
          </w:pPr>
        </w:p>
      </w:tc>
      <w:tc>
        <w:tcPr>
          <w:tcW w:w="1559" w:type="dxa"/>
        </w:tcPr>
        <w:p w14:paraId="339E59B6" w14:textId="77777777" w:rsidR="00423039" w:rsidRPr="00E9154D" w:rsidRDefault="00423039" w:rsidP="00423039">
          <w:pPr>
            <w:pStyle w:val="Etikett"/>
          </w:pPr>
        </w:p>
      </w:tc>
      <w:tc>
        <w:tcPr>
          <w:tcW w:w="2835" w:type="dxa"/>
        </w:tcPr>
        <w:p w14:paraId="5CE46A3D" w14:textId="77777777" w:rsidR="00423039" w:rsidRPr="00E9154D" w:rsidRDefault="00423039" w:rsidP="00423039">
          <w:pPr>
            <w:pStyle w:val="Etikett"/>
          </w:pPr>
        </w:p>
      </w:tc>
      <w:tc>
        <w:tcPr>
          <w:tcW w:w="1843" w:type="dxa"/>
        </w:tcPr>
        <w:p w14:paraId="41CC9F2B" w14:textId="77777777" w:rsidR="00423039" w:rsidRPr="00E9154D" w:rsidRDefault="00423039" w:rsidP="00423039">
          <w:pPr>
            <w:pStyle w:val="Etikett"/>
          </w:pPr>
        </w:p>
      </w:tc>
    </w:tr>
  </w:tbl>
  <w:p w14:paraId="2C511F64" w14:textId="77777777" w:rsidR="00671CF1" w:rsidRPr="00423039" w:rsidRDefault="00671CF1" w:rsidP="004230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6564B905" w14:textId="77777777" w:rsidTr="00042B1E">
      <w:tc>
        <w:tcPr>
          <w:tcW w:w="4196" w:type="dxa"/>
          <w:vMerge w:val="restart"/>
        </w:tcPr>
        <w:p w14:paraId="70F23F49"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7D279D4C" wp14:editId="73CA6CBC">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1872BDC5" w14:textId="77777777" w:rsidR="00042B1E" w:rsidRDefault="000F206B" w:rsidP="00E138C1">
          <w:pPr>
            <w:pStyle w:val="Etikett"/>
          </w:pPr>
          <w:r>
            <w:t>Promemoria</w:t>
          </w:r>
        </w:p>
      </w:tc>
      <w:tc>
        <w:tcPr>
          <w:tcW w:w="2835" w:type="dxa"/>
        </w:tcPr>
        <w:p w14:paraId="04E6F7ED" w14:textId="77777777" w:rsidR="00042B1E" w:rsidRPr="00E138C1" w:rsidRDefault="00042B1E" w:rsidP="00E138C1">
          <w:pPr>
            <w:pStyle w:val="Etikett"/>
          </w:pPr>
          <w:bookmarkStart w:id="0" w:name="xxDatumEtikett"/>
          <w:bookmarkEnd w:id="0"/>
          <w:r w:rsidRPr="00E138C1">
            <w:t>Datum</w:t>
          </w:r>
        </w:p>
      </w:tc>
      <w:tc>
        <w:tcPr>
          <w:tcW w:w="1843" w:type="dxa"/>
        </w:tcPr>
        <w:p w14:paraId="2BC1EBE8" w14:textId="77777777" w:rsidR="00042B1E" w:rsidRPr="00E138C1" w:rsidRDefault="00042B1E" w:rsidP="00E138C1">
          <w:pPr>
            <w:pStyle w:val="Etikett"/>
          </w:pPr>
          <w:bookmarkStart w:id="1" w:name="xxDiarienrEtikett"/>
          <w:bookmarkEnd w:id="1"/>
          <w:r w:rsidRPr="00E138C1">
            <w:t>D</w:t>
          </w:r>
          <w:r w:rsidR="00244747" w:rsidRPr="00E138C1">
            <w:t>nr</w:t>
          </w:r>
        </w:p>
      </w:tc>
      <w:tc>
        <w:tcPr>
          <w:tcW w:w="492" w:type="dxa"/>
        </w:tcPr>
        <w:p w14:paraId="4983EE95"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2FC5E0C2" w14:textId="77777777" w:rsidTr="00042B1E">
      <w:trPr>
        <w:gridAfter w:val="1"/>
        <w:wAfter w:w="492" w:type="dxa"/>
      </w:trPr>
      <w:tc>
        <w:tcPr>
          <w:tcW w:w="4196" w:type="dxa"/>
          <w:vMerge/>
        </w:tcPr>
        <w:p w14:paraId="641AEE6C" w14:textId="77777777" w:rsidR="00042B1E" w:rsidRPr="00E9154D" w:rsidRDefault="00042B1E" w:rsidP="00EC508B">
          <w:pPr>
            <w:pStyle w:val="Topp"/>
          </w:pPr>
        </w:p>
      </w:tc>
      <w:tc>
        <w:tcPr>
          <w:tcW w:w="1559" w:type="dxa"/>
        </w:tcPr>
        <w:p w14:paraId="78399DDE" w14:textId="77777777" w:rsidR="00042B1E" w:rsidRPr="00E9154D" w:rsidRDefault="00042B1E" w:rsidP="00E138C1">
          <w:pPr>
            <w:pStyle w:val="Etikett"/>
          </w:pPr>
        </w:p>
      </w:tc>
      <w:tc>
        <w:tcPr>
          <w:tcW w:w="2835" w:type="dxa"/>
        </w:tcPr>
        <w:p w14:paraId="556A386C" w14:textId="16A5D734" w:rsidR="00042B1E" w:rsidRDefault="00042B1E" w:rsidP="00E138C1">
          <w:pPr>
            <w:pStyle w:val="Etikett"/>
          </w:pPr>
          <w:r w:rsidRPr="00DC11DF">
            <w:t>20</w:t>
          </w:r>
          <w:r>
            <w:t>2</w:t>
          </w:r>
          <w:r w:rsidR="00220C28">
            <w:t>2</w:t>
          </w:r>
          <w:r>
            <w:t>-</w:t>
          </w:r>
          <w:r w:rsidR="00220C28">
            <w:t>07</w:t>
          </w:r>
          <w:r>
            <w:t>-</w:t>
          </w:r>
          <w:r w:rsidR="00220C28">
            <w:t>05</w:t>
          </w:r>
        </w:p>
        <w:p w14:paraId="67035AED" w14:textId="77777777" w:rsidR="00E138C1" w:rsidRPr="00E9154D" w:rsidRDefault="00E138C1" w:rsidP="00E138C1">
          <w:pPr>
            <w:pStyle w:val="Etikett"/>
          </w:pPr>
        </w:p>
      </w:tc>
      <w:tc>
        <w:tcPr>
          <w:tcW w:w="1843" w:type="dxa"/>
        </w:tcPr>
        <w:p w14:paraId="06C4322F" w14:textId="77777777" w:rsidR="00042B1E" w:rsidRPr="00E9154D" w:rsidRDefault="00042B1E" w:rsidP="00E138C1">
          <w:pPr>
            <w:pStyle w:val="Etikett"/>
          </w:pPr>
          <w:r>
            <w:t>202X/XXXXX</w:t>
          </w:r>
        </w:p>
      </w:tc>
    </w:tr>
    <w:tr w:rsidR="00042B1E" w:rsidRPr="00E9154D" w14:paraId="543C89C8" w14:textId="77777777" w:rsidTr="00423039">
      <w:trPr>
        <w:gridAfter w:val="1"/>
        <w:wAfter w:w="492" w:type="dxa"/>
        <w:trHeight w:val="1804"/>
      </w:trPr>
      <w:tc>
        <w:tcPr>
          <w:tcW w:w="4196" w:type="dxa"/>
          <w:vMerge/>
        </w:tcPr>
        <w:p w14:paraId="554C4858" w14:textId="77777777" w:rsidR="00042B1E" w:rsidRPr="00E9154D" w:rsidRDefault="00042B1E" w:rsidP="00EC508B"/>
      </w:tc>
      <w:tc>
        <w:tcPr>
          <w:tcW w:w="1559" w:type="dxa"/>
        </w:tcPr>
        <w:p w14:paraId="6A8037F3" w14:textId="77777777" w:rsidR="00042B1E" w:rsidRDefault="00042B1E" w:rsidP="00E138C1">
          <w:pPr>
            <w:pStyle w:val="Etikett"/>
          </w:pPr>
        </w:p>
      </w:tc>
      <w:tc>
        <w:tcPr>
          <w:tcW w:w="2835" w:type="dxa"/>
        </w:tcPr>
        <w:p w14:paraId="53EF5944" w14:textId="77777777" w:rsidR="00E138C1" w:rsidRDefault="00E138C1" w:rsidP="00E138C1">
          <w:pPr>
            <w:pStyle w:val="Etikett"/>
          </w:pPr>
        </w:p>
        <w:p w14:paraId="20406670" w14:textId="77777777" w:rsidR="00E138C1" w:rsidRDefault="00E138C1" w:rsidP="00E138C1">
          <w:pPr>
            <w:pStyle w:val="Etikett"/>
          </w:pPr>
        </w:p>
        <w:p w14:paraId="61A69D45" w14:textId="77777777" w:rsidR="00E138C1" w:rsidRDefault="00E138C1" w:rsidP="00E138C1">
          <w:pPr>
            <w:pStyle w:val="Etikett"/>
          </w:pPr>
        </w:p>
        <w:p w14:paraId="4FEC3DF3" w14:textId="77777777" w:rsidR="00042B1E" w:rsidRDefault="00042B1E" w:rsidP="00E138C1">
          <w:pPr>
            <w:pStyle w:val="Etikett"/>
          </w:pPr>
          <w:r>
            <w:t>Kontaktperson</w:t>
          </w:r>
        </w:p>
        <w:p w14:paraId="351183F8" w14:textId="6D7B2F65" w:rsidR="00042B1E" w:rsidRDefault="00220C28" w:rsidP="00E138C1">
          <w:pPr>
            <w:pStyle w:val="Etikett"/>
          </w:pPr>
          <w:r>
            <w:t>Manne Ismael</w:t>
          </w:r>
        </w:p>
        <w:p w14:paraId="7C00A21F" w14:textId="77777777" w:rsidR="00996B4E" w:rsidRDefault="00996B4E" w:rsidP="00E138C1">
          <w:pPr>
            <w:pStyle w:val="Etikett"/>
          </w:pPr>
        </w:p>
        <w:p w14:paraId="3F588815" w14:textId="77777777" w:rsidR="00996B4E" w:rsidRDefault="00996B4E" w:rsidP="00E138C1">
          <w:pPr>
            <w:pStyle w:val="Etikett"/>
          </w:pPr>
        </w:p>
        <w:p w14:paraId="42695B2E" w14:textId="77E6DE34" w:rsidR="00996B4E" w:rsidRDefault="00220C28" w:rsidP="00996B4E">
          <w:pPr>
            <w:pStyle w:val="Etikett"/>
          </w:pPr>
          <w:r>
            <w:t>Övervakningskommittén</w:t>
          </w:r>
        </w:p>
      </w:tc>
      <w:tc>
        <w:tcPr>
          <w:tcW w:w="1843" w:type="dxa"/>
        </w:tcPr>
        <w:p w14:paraId="31668C06" w14:textId="7232F529" w:rsidR="00042B1E" w:rsidRDefault="00042B1E" w:rsidP="00E138C1">
          <w:pPr>
            <w:pStyle w:val="Etikett"/>
          </w:pPr>
        </w:p>
        <w:p w14:paraId="46169FB1" w14:textId="77777777" w:rsidR="00E138C1" w:rsidRDefault="00E138C1" w:rsidP="00E138C1">
          <w:pPr>
            <w:pStyle w:val="Etikett"/>
          </w:pPr>
        </w:p>
        <w:p w14:paraId="6CF91726" w14:textId="77777777" w:rsidR="00042B1E" w:rsidRPr="00DD7045" w:rsidRDefault="00042B1E" w:rsidP="00E138C1">
          <w:pPr>
            <w:pStyle w:val="Etikett"/>
          </w:pPr>
          <w:r w:rsidRPr="00DD7045">
            <w:t>Telefon</w:t>
          </w:r>
        </w:p>
        <w:p w14:paraId="2AFA0272" w14:textId="5193E76A" w:rsidR="00042B1E" w:rsidRDefault="008223C6" w:rsidP="00E138C1">
          <w:pPr>
            <w:pStyle w:val="Etikett"/>
          </w:pPr>
          <w:r>
            <w:t>026–542667</w:t>
          </w:r>
        </w:p>
      </w:tc>
    </w:tr>
  </w:tbl>
  <w:p w14:paraId="317EAA9A"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EE1901"/>
    <w:multiLevelType w:val="hybridMultilevel"/>
    <w:tmpl w:val="3E9CBF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6D838AE"/>
    <w:multiLevelType w:val="multilevel"/>
    <w:tmpl w:val="49722D92"/>
    <w:numStyleLink w:val="Nummerlista"/>
  </w:abstractNum>
  <w:abstractNum w:abstractNumId="1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4" w15:restartNumberingAfterBreak="0">
    <w:nsid w:val="3C5F3C14"/>
    <w:multiLevelType w:val="multilevel"/>
    <w:tmpl w:val="3D3A2BA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5"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abstractNumId w:val="13"/>
  </w:num>
  <w:num w:numId="2">
    <w:abstractNumId w:val="16"/>
  </w:num>
  <w:num w:numId="3">
    <w:abstractNumId w:val="17"/>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1"/>
  </w:num>
  <w:num w:numId="15">
    <w:abstractNumId w:val="15"/>
  </w:num>
  <w:num w:numId="16">
    <w:abstractNumId w:val="18"/>
  </w:num>
  <w:num w:numId="17">
    <w:abstractNumId w:val="0"/>
  </w:num>
  <w:num w:numId="18">
    <w:abstractNumId w:val="12"/>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28"/>
    <w:rsid w:val="00001C88"/>
    <w:rsid w:val="0000624E"/>
    <w:rsid w:val="00012BD7"/>
    <w:rsid w:val="00014AF0"/>
    <w:rsid w:val="00015CC7"/>
    <w:rsid w:val="00020536"/>
    <w:rsid w:val="00020AA3"/>
    <w:rsid w:val="00022761"/>
    <w:rsid w:val="00023CCB"/>
    <w:rsid w:val="00030546"/>
    <w:rsid w:val="00034DAF"/>
    <w:rsid w:val="00034DDD"/>
    <w:rsid w:val="000356EA"/>
    <w:rsid w:val="00036251"/>
    <w:rsid w:val="0003790B"/>
    <w:rsid w:val="000405BD"/>
    <w:rsid w:val="00042B1E"/>
    <w:rsid w:val="00056354"/>
    <w:rsid w:val="00057AB3"/>
    <w:rsid w:val="00066984"/>
    <w:rsid w:val="00066C64"/>
    <w:rsid w:val="000714A7"/>
    <w:rsid w:val="00072ABF"/>
    <w:rsid w:val="00072D76"/>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E4A"/>
    <w:rsid w:val="000C02C1"/>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F206B"/>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70402"/>
    <w:rsid w:val="00180B69"/>
    <w:rsid w:val="00182721"/>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5D1D"/>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0C28"/>
    <w:rsid w:val="00223DDC"/>
    <w:rsid w:val="00224B47"/>
    <w:rsid w:val="00226D01"/>
    <w:rsid w:val="002308FD"/>
    <w:rsid w:val="00234D2D"/>
    <w:rsid w:val="00237158"/>
    <w:rsid w:val="002414E9"/>
    <w:rsid w:val="0024411B"/>
    <w:rsid w:val="00244747"/>
    <w:rsid w:val="00246CBB"/>
    <w:rsid w:val="0024756B"/>
    <w:rsid w:val="00247A97"/>
    <w:rsid w:val="00251510"/>
    <w:rsid w:val="002515CA"/>
    <w:rsid w:val="002521A1"/>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A01CF"/>
    <w:rsid w:val="002A2D0E"/>
    <w:rsid w:val="002A3F1C"/>
    <w:rsid w:val="002A3FB0"/>
    <w:rsid w:val="002A7AF1"/>
    <w:rsid w:val="002B170C"/>
    <w:rsid w:val="002B19D8"/>
    <w:rsid w:val="002B54A9"/>
    <w:rsid w:val="002C077E"/>
    <w:rsid w:val="002C17F7"/>
    <w:rsid w:val="002C4ACA"/>
    <w:rsid w:val="002C5BB3"/>
    <w:rsid w:val="002C5EBE"/>
    <w:rsid w:val="002C656A"/>
    <w:rsid w:val="002D2E88"/>
    <w:rsid w:val="002E0D79"/>
    <w:rsid w:val="002E1B6C"/>
    <w:rsid w:val="002E3109"/>
    <w:rsid w:val="002E48E8"/>
    <w:rsid w:val="002E6532"/>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797"/>
    <w:rsid w:val="00327A7E"/>
    <w:rsid w:val="003307DF"/>
    <w:rsid w:val="00331A3A"/>
    <w:rsid w:val="00332BEB"/>
    <w:rsid w:val="003379F0"/>
    <w:rsid w:val="00337F9C"/>
    <w:rsid w:val="0034050A"/>
    <w:rsid w:val="00340D82"/>
    <w:rsid w:val="0034223D"/>
    <w:rsid w:val="003436FC"/>
    <w:rsid w:val="00345623"/>
    <w:rsid w:val="003503A4"/>
    <w:rsid w:val="003532E1"/>
    <w:rsid w:val="00353BCB"/>
    <w:rsid w:val="00363500"/>
    <w:rsid w:val="00365C56"/>
    <w:rsid w:val="00367DC8"/>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1635"/>
    <w:rsid w:val="003B47F3"/>
    <w:rsid w:val="003C0883"/>
    <w:rsid w:val="003C412D"/>
    <w:rsid w:val="003C5652"/>
    <w:rsid w:val="003C5F5B"/>
    <w:rsid w:val="003C6AB8"/>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9FE"/>
    <w:rsid w:val="0041632B"/>
    <w:rsid w:val="004167DB"/>
    <w:rsid w:val="0042100D"/>
    <w:rsid w:val="00423039"/>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705A"/>
    <w:rsid w:val="004D05AA"/>
    <w:rsid w:val="004D3992"/>
    <w:rsid w:val="004D5AD8"/>
    <w:rsid w:val="004D6541"/>
    <w:rsid w:val="004D7DAB"/>
    <w:rsid w:val="004D7F0F"/>
    <w:rsid w:val="004E1844"/>
    <w:rsid w:val="004E2580"/>
    <w:rsid w:val="004E3379"/>
    <w:rsid w:val="004E5636"/>
    <w:rsid w:val="004F18D0"/>
    <w:rsid w:val="004F3312"/>
    <w:rsid w:val="004F4A26"/>
    <w:rsid w:val="004F6903"/>
    <w:rsid w:val="004F78BA"/>
    <w:rsid w:val="004F7D1A"/>
    <w:rsid w:val="005031B2"/>
    <w:rsid w:val="00504658"/>
    <w:rsid w:val="00505C9E"/>
    <w:rsid w:val="0050733B"/>
    <w:rsid w:val="00511E7D"/>
    <w:rsid w:val="00520BD2"/>
    <w:rsid w:val="00521568"/>
    <w:rsid w:val="00524229"/>
    <w:rsid w:val="005256E3"/>
    <w:rsid w:val="00532B5A"/>
    <w:rsid w:val="00534ADC"/>
    <w:rsid w:val="00535049"/>
    <w:rsid w:val="00535874"/>
    <w:rsid w:val="005372C2"/>
    <w:rsid w:val="00537DA8"/>
    <w:rsid w:val="005401A5"/>
    <w:rsid w:val="00540DAB"/>
    <w:rsid w:val="00543F3B"/>
    <w:rsid w:val="00546F4D"/>
    <w:rsid w:val="00547214"/>
    <w:rsid w:val="005506D5"/>
    <w:rsid w:val="00551B4D"/>
    <w:rsid w:val="00552846"/>
    <w:rsid w:val="00552A29"/>
    <w:rsid w:val="00553463"/>
    <w:rsid w:val="00555699"/>
    <w:rsid w:val="00555BE6"/>
    <w:rsid w:val="00555CAB"/>
    <w:rsid w:val="00555D72"/>
    <w:rsid w:val="005564AF"/>
    <w:rsid w:val="00557A5D"/>
    <w:rsid w:val="005608DC"/>
    <w:rsid w:val="00566A54"/>
    <w:rsid w:val="005703A2"/>
    <w:rsid w:val="00570B2D"/>
    <w:rsid w:val="00571F85"/>
    <w:rsid w:val="005731A7"/>
    <w:rsid w:val="00573965"/>
    <w:rsid w:val="005761C2"/>
    <w:rsid w:val="005775E6"/>
    <w:rsid w:val="00577AB7"/>
    <w:rsid w:val="00580789"/>
    <w:rsid w:val="0058122D"/>
    <w:rsid w:val="00581F54"/>
    <w:rsid w:val="00582626"/>
    <w:rsid w:val="005839FD"/>
    <w:rsid w:val="00585366"/>
    <w:rsid w:val="005855C1"/>
    <w:rsid w:val="00590FFD"/>
    <w:rsid w:val="005951E7"/>
    <w:rsid w:val="00595F5A"/>
    <w:rsid w:val="0059749C"/>
    <w:rsid w:val="005A2391"/>
    <w:rsid w:val="005A3E22"/>
    <w:rsid w:val="005A6C61"/>
    <w:rsid w:val="005B0771"/>
    <w:rsid w:val="005B1B94"/>
    <w:rsid w:val="005B4D88"/>
    <w:rsid w:val="005B523D"/>
    <w:rsid w:val="005C022A"/>
    <w:rsid w:val="005C0A82"/>
    <w:rsid w:val="005C2716"/>
    <w:rsid w:val="005C2A10"/>
    <w:rsid w:val="005C32A0"/>
    <w:rsid w:val="005D2246"/>
    <w:rsid w:val="005D4B14"/>
    <w:rsid w:val="005D6E01"/>
    <w:rsid w:val="005D748E"/>
    <w:rsid w:val="005D7EF1"/>
    <w:rsid w:val="005D7FD4"/>
    <w:rsid w:val="005E2E31"/>
    <w:rsid w:val="005E304C"/>
    <w:rsid w:val="005E32E2"/>
    <w:rsid w:val="005E3957"/>
    <w:rsid w:val="005E60B7"/>
    <w:rsid w:val="005E6AA3"/>
    <w:rsid w:val="005E76AC"/>
    <w:rsid w:val="005E7BCA"/>
    <w:rsid w:val="005F2279"/>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A5D"/>
    <w:rsid w:val="0066581A"/>
    <w:rsid w:val="0066655E"/>
    <w:rsid w:val="00667AC8"/>
    <w:rsid w:val="006719E9"/>
    <w:rsid w:val="00671CF1"/>
    <w:rsid w:val="0067587D"/>
    <w:rsid w:val="006759F8"/>
    <w:rsid w:val="00676AB5"/>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2DC"/>
    <w:rsid w:val="006B3464"/>
    <w:rsid w:val="006B351C"/>
    <w:rsid w:val="006B39F3"/>
    <w:rsid w:val="006B4567"/>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04EE6"/>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73197"/>
    <w:rsid w:val="00773E7D"/>
    <w:rsid w:val="0077631B"/>
    <w:rsid w:val="007811A3"/>
    <w:rsid w:val="00781EFE"/>
    <w:rsid w:val="00782956"/>
    <w:rsid w:val="00786BCE"/>
    <w:rsid w:val="0079742A"/>
    <w:rsid w:val="0079768B"/>
    <w:rsid w:val="007A4638"/>
    <w:rsid w:val="007A55AE"/>
    <w:rsid w:val="007A60F4"/>
    <w:rsid w:val="007A6C38"/>
    <w:rsid w:val="007A75AD"/>
    <w:rsid w:val="007B0CCE"/>
    <w:rsid w:val="007B1E3C"/>
    <w:rsid w:val="007B5D02"/>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126B"/>
    <w:rsid w:val="007E21A9"/>
    <w:rsid w:val="007E2590"/>
    <w:rsid w:val="007E2DD9"/>
    <w:rsid w:val="007E5256"/>
    <w:rsid w:val="007E5F41"/>
    <w:rsid w:val="007E6120"/>
    <w:rsid w:val="007E70F4"/>
    <w:rsid w:val="007F0D3A"/>
    <w:rsid w:val="007F389D"/>
    <w:rsid w:val="00800639"/>
    <w:rsid w:val="00802987"/>
    <w:rsid w:val="00805078"/>
    <w:rsid w:val="008109EE"/>
    <w:rsid w:val="008110A5"/>
    <w:rsid w:val="00811666"/>
    <w:rsid w:val="00812419"/>
    <w:rsid w:val="00813361"/>
    <w:rsid w:val="00816545"/>
    <w:rsid w:val="00820F5A"/>
    <w:rsid w:val="008219F4"/>
    <w:rsid w:val="008223C6"/>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989"/>
    <w:rsid w:val="008435F1"/>
    <w:rsid w:val="00844307"/>
    <w:rsid w:val="00846A4D"/>
    <w:rsid w:val="00847451"/>
    <w:rsid w:val="00850DF1"/>
    <w:rsid w:val="008511D6"/>
    <w:rsid w:val="00851C2A"/>
    <w:rsid w:val="00852256"/>
    <w:rsid w:val="008532D9"/>
    <w:rsid w:val="00854EB7"/>
    <w:rsid w:val="00855218"/>
    <w:rsid w:val="00855315"/>
    <w:rsid w:val="008574A2"/>
    <w:rsid w:val="00862AB2"/>
    <w:rsid w:val="0087441B"/>
    <w:rsid w:val="00874673"/>
    <w:rsid w:val="008779A6"/>
    <w:rsid w:val="00877B94"/>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9011FD"/>
    <w:rsid w:val="0090198B"/>
    <w:rsid w:val="009050A2"/>
    <w:rsid w:val="009056F3"/>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4569"/>
    <w:rsid w:val="009465BB"/>
    <w:rsid w:val="00946C74"/>
    <w:rsid w:val="00950101"/>
    <w:rsid w:val="009507AD"/>
    <w:rsid w:val="00951287"/>
    <w:rsid w:val="00953302"/>
    <w:rsid w:val="0095348D"/>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151E"/>
    <w:rsid w:val="0099288F"/>
    <w:rsid w:val="009951EE"/>
    <w:rsid w:val="00996B4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51433"/>
    <w:rsid w:val="00A518A0"/>
    <w:rsid w:val="00A52F37"/>
    <w:rsid w:val="00A60D7E"/>
    <w:rsid w:val="00A615C7"/>
    <w:rsid w:val="00A63228"/>
    <w:rsid w:val="00A6447F"/>
    <w:rsid w:val="00A66C89"/>
    <w:rsid w:val="00A674CB"/>
    <w:rsid w:val="00A678D2"/>
    <w:rsid w:val="00A67CBE"/>
    <w:rsid w:val="00A67D10"/>
    <w:rsid w:val="00A67FD3"/>
    <w:rsid w:val="00A703B3"/>
    <w:rsid w:val="00A7186F"/>
    <w:rsid w:val="00A75268"/>
    <w:rsid w:val="00A75637"/>
    <w:rsid w:val="00A77AB8"/>
    <w:rsid w:val="00A8069A"/>
    <w:rsid w:val="00A82B37"/>
    <w:rsid w:val="00A9004C"/>
    <w:rsid w:val="00A9069F"/>
    <w:rsid w:val="00A92855"/>
    <w:rsid w:val="00A936CC"/>
    <w:rsid w:val="00A954B5"/>
    <w:rsid w:val="00AA11C1"/>
    <w:rsid w:val="00AA29A8"/>
    <w:rsid w:val="00AA38A7"/>
    <w:rsid w:val="00AA512B"/>
    <w:rsid w:val="00AA5BE4"/>
    <w:rsid w:val="00AA5F68"/>
    <w:rsid w:val="00AA6D04"/>
    <w:rsid w:val="00AB085A"/>
    <w:rsid w:val="00AB1E08"/>
    <w:rsid w:val="00AB2F5F"/>
    <w:rsid w:val="00AB46C7"/>
    <w:rsid w:val="00AB4927"/>
    <w:rsid w:val="00AB592E"/>
    <w:rsid w:val="00AC003A"/>
    <w:rsid w:val="00AC1B7C"/>
    <w:rsid w:val="00AC4155"/>
    <w:rsid w:val="00AC58D2"/>
    <w:rsid w:val="00AC6DD5"/>
    <w:rsid w:val="00AD240F"/>
    <w:rsid w:val="00AD3F13"/>
    <w:rsid w:val="00AD655F"/>
    <w:rsid w:val="00AD6AFF"/>
    <w:rsid w:val="00AD7393"/>
    <w:rsid w:val="00AD7B57"/>
    <w:rsid w:val="00AE0D72"/>
    <w:rsid w:val="00AE1791"/>
    <w:rsid w:val="00AE3BB4"/>
    <w:rsid w:val="00AE4063"/>
    <w:rsid w:val="00AE4AE4"/>
    <w:rsid w:val="00AE4D18"/>
    <w:rsid w:val="00AE648E"/>
    <w:rsid w:val="00AE7867"/>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2ADF"/>
    <w:rsid w:val="00B351E6"/>
    <w:rsid w:val="00B3634F"/>
    <w:rsid w:val="00B37688"/>
    <w:rsid w:val="00B40D3B"/>
    <w:rsid w:val="00B4121A"/>
    <w:rsid w:val="00B4434F"/>
    <w:rsid w:val="00B4461C"/>
    <w:rsid w:val="00B45694"/>
    <w:rsid w:val="00B4598E"/>
    <w:rsid w:val="00B463B6"/>
    <w:rsid w:val="00B469FC"/>
    <w:rsid w:val="00B46F54"/>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5B60"/>
    <w:rsid w:val="00BC707D"/>
    <w:rsid w:val="00BD0020"/>
    <w:rsid w:val="00BD019D"/>
    <w:rsid w:val="00BD125F"/>
    <w:rsid w:val="00BD2627"/>
    <w:rsid w:val="00BD2A65"/>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330A"/>
    <w:rsid w:val="00C23734"/>
    <w:rsid w:val="00C2685E"/>
    <w:rsid w:val="00C26B6A"/>
    <w:rsid w:val="00C30652"/>
    <w:rsid w:val="00C307BE"/>
    <w:rsid w:val="00C31606"/>
    <w:rsid w:val="00C319FF"/>
    <w:rsid w:val="00C345BC"/>
    <w:rsid w:val="00C3712C"/>
    <w:rsid w:val="00C42B89"/>
    <w:rsid w:val="00C45159"/>
    <w:rsid w:val="00C50710"/>
    <w:rsid w:val="00C50B97"/>
    <w:rsid w:val="00C5483B"/>
    <w:rsid w:val="00C551F8"/>
    <w:rsid w:val="00C55AAF"/>
    <w:rsid w:val="00C568F6"/>
    <w:rsid w:val="00C56E55"/>
    <w:rsid w:val="00C575D2"/>
    <w:rsid w:val="00C5762C"/>
    <w:rsid w:val="00C57802"/>
    <w:rsid w:val="00C63AC4"/>
    <w:rsid w:val="00C63C82"/>
    <w:rsid w:val="00C709F9"/>
    <w:rsid w:val="00C713ED"/>
    <w:rsid w:val="00C715CE"/>
    <w:rsid w:val="00C74335"/>
    <w:rsid w:val="00C76726"/>
    <w:rsid w:val="00C80F85"/>
    <w:rsid w:val="00C817CA"/>
    <w:rsid w:val="00C8410C"/>
    <w:rsid w:val="00C84349"/>
    <w:rsid w:val="00C8578C"/>
    <w:rsid w:val="00C92226"/>
    <w:rsid w:val="00C9305D"/>
    <w:rsid w:val="00C93E59"/>
    <w:rsid w:val="00C94353"/>
    <w:rsid w:val="00C94A38"/>
    <w:rsid w:val="00C9619B"/>
    <w:rsid w:val="00CA16B6"/>
    <w:rsid w:val="00CA5C90"/>
    <w:rsid w:val="00CA609B"/>
    <w:rsid w:val="00CB1730"/>
    <w:rsid w:val="00CB2A7C"/>
    <w:rsid w:val="00CB34FA"/>
    <w:rsid w:val="00CB4E39"/>
    <w:rsid w:val="00CB634D"/>
    <w:rsid w:val="00CB6B2A"/>
    <w:rsid w:val="00CB7D3E"/>
    <w:rsid w:val="00CC3114"/>
    <w:rsid w:val="00CC4AF6"/>
    <w:rsid w:val="00CC5FA0"/>
    <w:rsid w:val="00CC6952"/>
    <w:rsid w:val="00CC72C8"/>
    <w:rsid w:val="00CC7A6F"/>
    <w:rsid w:val="00CD0679"/>
    <w:rsid w:val="00CD0F39"/>
    <w:rsid w:val="00CD3520"/>
    <w:rsid w:val="00CD55FC"/>
    <w:rsid w:val="00CD5B1E"/>
    <w:rsid w:val="00CD68B5"/>
    <w:rsid w:val="00CD6EAE"/>
    <w:rsid w:val="00CD6FE3"/>
    <w:rsid w:val="00CE514C"/>
    <w:rsid w:val="00CE7404"/>
    <w:rsid w:val="00CF221C"/>
    <w:rsid w:val="00CF4599"/>
    <w:rsid w:val="00CF6B85"/>
    <w:rsid w:val="00CF79BC"/>
    <w:rsid w:val="00D00009"/>
    <w:rsid w:val="00D00A6C"/>
    <w:rsid w:val="00D01FB3"/>
    <w:rsid w:val="00D03A9B"/>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A1B"/>
    <w:rsid w:val="00D37AC0"/>
    <w:rsid w:val="00D406DA"/>
    <w:rsid w:val="00D432DC"/>
    <w:rsid w:val="00D44F1C"/>
    <w:rsid w:val="00D469DF"/>
    <w:rsid w:val="00D473E7"/>
    <w:rsid w:val="00D50D7C"/>
    <w:rsid w:val="00D51C8A"/>
    <w:rsid w:val="00D52899"/>
    <w:rsid w:val="00D53FBF"/>
    <w:rsid w:val="00D54ECA"/>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8309E"/>
    <w:rsid w:val="00D91E62"/>
    <w:rsid w:val="00D94EB2"/>
    <w:rsid w:val="00D95250"/>
    <w:rsid w:val="00D9572E"/>
    <w:rsid w:val="00D95F1A"/>
    <w:rsid w:val="00DA271D"/>
    <w:rsid w:val="00DA74DE"/>
    <w:rsid w:val="00DA790F"/>
    <w:rsid w:val="00DA7F86"/>
    <w:rsid w:val="00DB1EF9"/>
    <w:rsid w:val="00DB49F5"/>
    <w:rsid w:val="00DB692B"/>
    <w:rsid w:val="00DB756A"/>
    <w:rsid w:val="00DC0CB1"/>
    <w:rsid w:val="00DC11DF"/>
    <w:rsid w:val="00DC3EA0"/>
    <w:rsid w:val="00DD1EA0"/>
    <w:rsid w:val="00DD37E9"/>
    <w:rsid w:val="00DD4C84"/>
    <w:rsid w:val="00DD7045"/>
    <w:rsid w:val="00DD75A6"/>
    <w:rsid w:val="00DD7D3B"/>
    <w:rsid w:val="00DE1995"/>
    <w:rsid w:val="00DE1D7A"/>
    <w:rsid w:val="00DE373D"/>
    <w:rsid w:val="00DE5C0C"/>
    <w:rsid w:val="00DE618B"/>
    <w:rsid w:val="00DF1C67"/>
    <w:rsid w:val="00DF1D22"/>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45D51"/>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913AF"/>
    <w:rsid w:val="00E9154D"/>
    <w:rsid w:val="00E9333B"/>
    <w:rsid w:val="00E93799"/>
    <w:rsid w:val="00E939B2"/>
    <w:rsid w:val="00E95B3C"/>
    <w:rsid w:val="00E9762E"/>
    <w:rsid w:val="00E97DD2"/>
    <w:rsid w:val="00EA2B7F"/>
    <w:rsid w:val="00EA39E4"/>
    <w:rsid w:val="00EA4D30"/>
    <w:rsid w:val="00EB03CD"/>
    <w:rsid w:val="00EB1756"/>
    <w:rsid w:val="00EB207F"/>
    <w:rsid w:val="00EB2847"/>
    <w:rsid w:val="00EB3CEA"/>
    <w:rsid w:val="00EC0AC6"/>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5AF4"/>
    <w:rsid w:val="00F15ED7"/>
    <w:rsid w:val="00F2105E"/>
    <w:rsid w:val="00F21480"/>
    <w:rsid w:val="00F219DA"/>
    <w:rsid w:val="00F24E1C"/>
    <w:rsid w:val="00F26DA2"/>
    <w:rsid w:val="00F31C60"/>
    <w:rsid w:val="00F32AA9"/>
    <w:rsid w:val="00F351D0"/>
    <w:rsid w:val="00F356D5"/>
    <w:rsid w:val="00F36DB8"/>
    <w:rsid w:val="00F408B4"/>
    <w:rsid w:val="00F40D15"/>
    <w:rsid w:val="00F41CAB"/>
    <w:rsid w:val="00F424C2"/>
    <w:rsid w:val="00F42C3E"/>
    <w:rsid w:val="00F430F3"/>
    <w:rsid w:val="00F4679C"/>
    <w:rsid w:val="00F47812"/>
    <w:rsid w:val="00F47D2D"/>
    <w:rsid w:val="00F50551"/>
    <w:rsid w:val="00F52827"/>
    <w:rsid w:val="00F52FC3"/>
    <w:rsid w:val="00F53FAA"/>
    <w:rsid w:val="00F54158"/>
    <w:rsid w:val="00F562E0"/>
    <w:rsid w:val="00F566E9"/>
    <w:rsid w:val="00F57586"/>
    <w:rsid w:val="00F602D9"/>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3CD"/>
    <w:rsid w:val="00F94551"/>
    <w:rsid w:val="00F94EC8"/>
    <w:rsid w:val="00F94F82"/>
    <w:rsid w:val="00F95700"/>
    <w:rsid w:val="00F9689C"/>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4B00"/>
    <w:rsid w:val="00FC66F8"/>
    <w:rsid w:val="00FC6D57"/>
    <w:rsid w:val="00FD1691"/>
    <w:rsid w:val="00FD23C5"/>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D0772"/>
  <w15:chartTrackingRefBased/>
  <w15:docId w15:val="{DA4D4659-DF7D-45F8-B866-0E63E45A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08B"/>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link w:val="Rubrik1Char"/>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423039"/>
    <w:pPr>
      <w:spacing w:after="60" w:line="200" w:lineRule="exact"/>
    </w:pPr>
    <w:rPr>
      <w:sz w:val="14"/>
    </w:rPr>
  </w:style>
  <w:style w:type="character" w:customStyle="1" w:styleId="FotnotstextChar">
    <w:name w:val="Fotnotstext Char"/>
    <w:basedOn w:val="Standardstycketeckensnitt"/>
    <w:link w:val="Fotnotstext"/>
    <w:semiHidden/>
    <w:rsid w:val="00423039"/>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semiHidden/>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semiHidden/>
    <w:rsid w:val="008110A5"/>
    <w:pPr>
      <w:spacing w:after="100"/>
      <w:ind w:left="240"/>
    </w:pPr>
  </w:style>
  <w:style w:type="paragraph" w:styleId="Innehll3">
    <w:name w:val="toc 3"/>
    <w:basedOn w:val="Normal"/>
    <w:next w:val="Normal"/>
    <w:autoRedefine/>
    <w:semiHidden/>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semiHidden/>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C31606"/>
    <w:rPr>
      <w:rFonts w:ascii="Trebuchet MS" w:hAnsi="Trebuchet MS"/>
      <w:sz w:val="14"/>
    </w:rPr>
  </w:style>
  <w:style w:type="character" w:customStyle="1" w:styleId="Rubrik1Char">
    <w:name w:val="Rubrik 1 Char"/>
    <w:basedOn w:val="Standardstycketeckensnitt"/>
    <w:link w:val="Rubrik1"/>
    <w:rsid w:val="00220C28"/>
    <w:rPr>
      <w:rFonts w:ascii="Trebuchet MS" w:hAnsi="Trebuchet MS"/>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f.se/Documents/V%c3%a5ra%20program/Socialfonden%202014-2020/Programinformation/%c3%96K/Handlingar%202018/%c3%96vervakningskommitt%c3%a9n_uppgift%20enl%20program%20o%201303_1812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Nationell\Nya%20mallar\ESF%20HK%20Nationella\PM%20externt_h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externt_hk</Template>
  <TotalTime>1</TotalTime>
  <Pages>7</Pages>
  <Words>2110</Words>
  <Characters>14188</Characters>
  <Application>Microsoft Office Word</Application>
  <DocSecurity>0</DocSecurity>
  <Lines>118</Lines>
  <Paragraphs>32</Paragraphs>
  <ScaleCrop>false</ScaleCrop>
  <HeadingPairs>
    <vt:vector size="2" baseType="variant">
      <vt:variant>
        <vt:lpstr>Rubrik</vt:lpstr>
      </vt:variant>
      <vt:variant>
        <vt:i4>1</vt:i4>
      </vt:variant>
    </vt:vector>
  </HeadingPairs>
  <TitlesOfParts>
    <vt:vector size="1" baseType="lpstr">
      <vt:lpstr>PM externt</vt:lpstr>
    </vt:vector>
  </TitlesOfParts>
  <Manager/>
  <Company>Svenska ESF-rådet</Company>
  <LinksUpToDate>false</LinksUpToDate>
  <CharactersWithSpaces>16266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externt</dc:title>
  <dc:subject/>
  <dc:creator>Ismael Manne</dc:creator>
  <cp:keywords/>
  <dc:description/>
  <cp:lastModifiedBy>Ismael Manne</cp:lastModifiedBy>
  <cp:revision>2</cp:revision>
  <cp:lastPrinted>2021-03-11T12:42:00Z</cp:lastPrinted>
  <dcterms:created xsi:type="dcterms:W3CDTF">2022-07-07T09:04:00Z</dcterms:created>
  <dcterms:modified xsi:type="dcterms:W3CDTF">2022-07-07T09:04:00Z</dcterms:modified>
  <cp:category/>
</cp:coreProperties>
</file>